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3FEE2">
      <w:pPr>
        <w:tabs>
          <w:tab w:val="left" w:pos="1985"/>
        </w:tabs>
        <w:ind w:left="1985" w:hanging="1985"/>
        <w:rPr>
          <w:rFonts w:hint="default" w:ascii="Arial" w:hAnsi="Arial"/>
          <w:b/>
          <w:sz w:val="24"/>
          <w:lang w:val="en-GB" w:eastAsia="zh-CN"/>
        </w:rPr>
      </w:pPr>
      <w:r>
        <w:rPr>
          <w:rFonts w:hint="default" w:ascii="Arial" w:hAnsi="Arial"/>
          <w:b/>
          <w:sz w:val="24"/>
          <w:lang w:val="en-GB" w:eastAsia="zh-CN"/>
        </w:rPr>
        <w:t xml:space="preserve">3GPP TSG-WG2 Meeting #129                                            </w:t>
      </w:r>
      <w:r>
        <w:rPr>
          <w:rFonts w:hint="eastAsia" w:ascii="Arial" w:hAnsi="Arial"/>
          <w:b/>
          <w:sz w:val="24"/>
          <w:lang w:val="en-US" w:eastAsia="zh-CN"/>
        </w:rPr>
        <w:t xml:space="preserve">                                </w:t>
      </w:r>
      <w:r>
        <w:rPr>
          <w:rFonts w:hint="default" w:ascii="Arial" w:hAnsi="Arial"/>
          <w:b/>
          <w:sz w:val="24"/>
          <w:lang w:val="en-GB" w:eastAsia="zh-CN"/>
        </w:rPr>
        <w:t xml:space="preserve">R2-2501037 </w:t>
      </w:r>
    </w:p>
    <w:p w14:paraId="6B33B2D5">
      <w:pPr>
        <w:tabs>
          <w:tab w:val="left" w:pos="1985"/>
        </w:tabs>
        <w:ind w:left="1985" w:hanging="1985"/>
        <w:rPr>
          <w:rFonts w:hint="default" w:ascii="Arial" w:hAnsi="Arial"/>
          <w:b/>
          <w:sz w:val="24"/>
          <w:lang w:val="en-GB" w:eastAsia="zh-CN"/>
        </w:rPr>
      </w:pPr>
      <w:r>
        <w:rPr>
          <w:rFonts w:hint="default" w:ascii="Arial" w:hAnsi="Arial"/>
          <w:b/>
          <w:sz w:val="24"/>
          <w:lang w:val="en-GB" w:eastAsia="zh-CN"/>
        </w:rPr>
        <w:t>Athens, GR, 17th – 21st February 2025</w:t>
      </w:r>
    </w:p>
    <w:p w14:paraId="78EBE9F5">
      <w:pPr>
        <w:tabs>
          <w:tab w:val="left" w:pos="1985"/>
        </w:tabs>
        <w:ind w:left="1985" w:hanging="1985"/>
        <w:rPr>
          <w:rFonts w:hint="default" w:ascii="Arial" w:hAnsi="Arial"/>
          <w:b/>
          <w:sz w:val="24"/>
          <w:lang w:val="en-GB" w:eastAsia="zh-CN"/>
        </w:rPr>
      </w:pPr>
    </w:p>
    <w:p w14:paraId="17E8DAE7">
      <w:pPr>
        <w:tabs>
          <w:tab w:val="left" w:pos="1985"/>
        </w:tabs>
        <w:ind w:left="1985" w:hanging="1985"/>
        <w:rPr>
          <w:rFonts w:hint="default" w:ascii="Arial" w:hAnsi="Arial"/>
          <w:b/>
          <w:sz w:val="24"/>
          <w:lang w:val="en-GB" w:eastAsia="zh-CN"/>
        </w:rPr>
      </w:pPr>
      <w:r>
        <w:rPr>
          <w:rFonts w:hint="default" w:ascii="Arial" w:hAnsi="Arial"/>
          <w:b/>
          <w:sz w:val="24"/>
          <w:lang w:val="en-GB" w:eastAsia="zh-CN"/>
        </w:rPr>
        <w:t>Agenda item:</w:t>
      </w:r>
      <w:r>
        <w:rPr>
          <w:rFonts w:hint="default" w:ascii="Arial" w:hAnsi="Arial"/>
          <w:b/>
          <w:sz w:val="24"/>
          <w:lang w:val="en-GB" w:eastAsia="zh-CN"/>
        </w:rPr>
        <w:tab/>
      </w:r>
      <w:r>
        <w:rPr>
          <w:rFonts w:hint="default" w:ascii="Arial" w:hAnsi="Arial"/>
          <w:b/>
          <w:sz w:val="24"/>
          <w:lang w:val="en-GB" w:eastAsia="zh-CN"/>
        </w:rPr>
        <w:t>8.8.2</w:t>
      </w:r>
    </w:p>
    <w:p w14:paraId="18D53754">
      <w:pPr>
        <w:tabs>
          <w:tab w:val="left" w:pos="1985"/>
        </w:tabs>
        <w:ind w:left="1985" w:hanging="1985"/>
        <w:rPr>
          <w:rFonts w:hint="default" w:ascii="Arial" w:hAnsi="Arial"/>
          <w:b/>
          <w:sz w:val="24"/>
          <w:lang w:val="en-US" w:eastAsia="zh-CN"/>
        </w:rPr>
      </w:pPr>
      <w:r>
        <w:rPr>
          <w:rFonts w:hint="default" w:ascii="Arial" w:hAnsi="Arial"/>
          <w:b/>
          <w:sz w:val="24"/>
          <w:lang w:val="en-GB" w:eastAsia="zh-CN"/>
        </w:rPr>
        <w:t>Title:</w:t>
      </w:r>
      <w:r>
        <w:rPr>
          <w:rFonts w:hint="default" w:ascii="Arial" w:hAnsi="Arial"/>
          <w:b/>
          <w:sz w:val="24"/>
          <w:lang w:val="en-GB" w:eastAsia="zh-CN"/>
        </w:rPr>
        <w:tab/>
      </w:r>
      <w:r>
        <w:rPr>
          <w:rFonts w:hint="default" w:ascii="Arial" w:hAnsi="Arial"/>
          <w:b/>
          <w:sz w:val="24"/>
          <w:lang w:val="en-GB" w:eastAsia="zh-CN"/>
        </w:rPr>
        <w:t>Analysis on DL coverage enhancements due to extended SIB periodicity</w:t>
      </w:r>
      <w:r>
        <w:rPr>
          <w:rFonts w:hint="default" w:ascii="Arial" w:hAnsi="Arial"/>
          <w:b/>
          <w:sz w:val="24"/>
          <w:lang w:val="en-US" w:eastAsia="zh-CN"/>
        </w:rPr>
        <w:tab/>
      </w:r>
      <w:r>
        <w:rPr>
          <w:rFonts w:hint="default" w:ascii="Arial" w:hAnsi="Arial"/>
          <w:b/>
          <w:sz w:val="24"/>
          <w:lang w:val="en-US" w:eastAsia="zh-CN"/>
        </w:rPr>
        <w:t xml:space="preserve"> </w:t>
      </w:r>
    </w:p>
    <w:p w14:paraId="6441E607">
      <w:pPr>
        <w:tabs>
          <w:tab w:val="left" w:pos="1985"/>
        </w:tabs>
        <w:ind w:left="1985" w:hanging="1985"/>
        <w:rPr>
          <w:rFonts w:hint="default" w:ascii="Arial" w:hAnsi="Arial"/>
          <w:b/>
          <w:sz w:val="24"/>
          <w:lang w:val="en-GB" w:eastAsia="zh-CN"/>
        </w:rPr>
      </w:pPr>
      <w:r>
        <w:rPr>
          <w:rFonts w:hint="default" w:ascii="Arial" w:hAnsi="Arial"/>
          <w:b/>
          <w:sz w:val="24"/>
          <w:lang w:val="en-GB" w:eastAsia="zh-CN"/>
        </w:rPr>
        <w:t>Source:</w:t>
      </w:r>
      <w:r>
        <w:rPr>
          <w:rFonts w:hint="default" w:ascii="Arial" w:hAnsi="Arial"/>
          <w:b/>
          <w:sz w:val="24"/>
          <w:lang w:val="en-GB" w:eastAsia="zh-CN"/>
        </w:rPr>
        <w:tab/>
      </w:r>
      <w:r>
        <w:rPr>
          <w:rFonts w:hint="default" w:ascii="Arial" w:hAnsi="Arial"/>
          <w:b/>
          <w:sz w:val="24"/>
          <w:lang w:val="en-GB" w:eastAsia="zh-CN"/>
        </w:rPr>
        <w:t>CMCC</w:t>
      </w:r>
    </w:p>
    <w:p w14:paraId="45F7A736">
      <w:pPr>
        <w:tabs>
          <w:tab w:val="left" w:pos="1985"/>
        </w:tabs>
        <w:ind w:left="1985" w:hanging="1985"/>
        <w:rPr>
          <w:rFonts w:hint="default" w:ascii="Arial" w:hAnsi="Arial"/>
          <w:b/>
          <w:sz w:val="24"/>
          <w:lang w:val="en-GB" w:eastAsia="zh-CN"/>
        </w:rPr>
      </w:pPr>
      <w:r>
        <w:rPr>
          <w:rFonts w:hint="default" w:ascii="Arial" w:hAnsi="Arial"/>
          <w:b/>
          <w:sz w:val="24"/>
          <w:lang w:val="en-GB" w:eastAsia="zh-CN"/>
        </w:rPr>
        <w:t>Document for:</w:t>
      </w:r>
      <w:r>
        <w:rPr>
          <w:rFonts w:hint="default" w:ascii="Arial" w:hAnsi="Arial"/>
          <w:b/>
          <w:sz w:val="24"/>
          <w:lang w:val="en-GB" w:eastAsia="zh-CN"/>
        </w:rPr>
        <w:tab/>
      </w:r>
      <w:r>
        <w:rPr>
          <w:rFonts w:hint="default" w:ascii="Arial" w:hAnsi="Arial"/>
          <w:b/>
          <w:sz w:val="24"/>
          <w:lang w:val="en-GB" w:eastAsia="zh-CN"/>
        </w:rPr>
        <w:t>Discussion</w:t>
      </w:r>
    </w:p>
    <w:p w14:paraId="53356D31">
      <w:pPr>
        <w:pBdr>
          <w:bottom w:val="single" w:color="auto" w:sz="4" w:space="1"/>
        </w:pBdr>
        <w:rPr>
          <w:rFonts w:hint="default" w:ascii="Times New Roman" w:hAnsi="Times New Roman" w:cs="Times New Roman"/>
        </w:rPr>
      </w:pPr>
    </w:p>
    <w:p w14:paraId="0ED27DEF">
      <w:pPr>
        <w:pStyle w:val="2"/>
        <w:keepNext w:val="0"/>
        <w:widowControl w:val="0"/>
        <w:numPr>
          <w:ilvl w:val="0"/>
          <w:numId w:val="6"/>
        </w:numPr>
        <w:pBdr>
          <w:top w:val="single" w:color="auto" w:sz="12" w:space="3"/>
        </w:pBdr>
        <w:spacing w:before="240" w:after="180"/>
        <w:ind w:left="0" w:right="0" w:firstLine="0"/>
        <w:rPr>
          <w:rFonts w:hint="default" w:ascii="Arial" w:hAnsi="Arial" w:eastAsia="宋体" w:cs="Times New Roman"/>
          <w:b w:val="0"/>
          <w:sz w:val="36"/>
          <w:lang w:val="en-GB" w:eastAsia="zh-CN" w:bidi="ar-SA"/>
        </w:rPr>
      </w:pPr>
      <w:r>
        <w:rPr>
          <w:rFonts w:hint="default" w:ascii="Arial" w:hAnsi="Arial" w:eastAsia="宋体" w:cs="Times New Roman"/>
          <w:b w:val="0"/>
          <w:sz w:val="36"/>
          <w:lang w:val="en-GB" w:eastAsia="zh-CN" w:bidi="ar-SA"/>
        </w:rPr>
        <w:t xml:space="preserve"> Introduction</w:t>
      </w:r>
    </w:p>
    <w:p w14:paraId="557A23AD">
      <w:pPr>
        <w:spacing w:before="120" w:beforeLines="50" w:after="120" w:afterLines="50"/>
        <w:rPr>
          <w:rFonts w:hint="eastAsia" w:cs="Times New Roman"/>
          <w:bCs/>
          <w:iCs/>
          <w:sz w:val="20"/>
          <w:szCs w:val="20"/>
          <w:lang w:val="en-US" w:eastAsia="zh-CN"/>
        </w:rPr>
      </w:pPr>
      <w:r>
        <w:rPr>
          <w:rFonts w:hint="eastAsia" w:cs="Times New Roman"/>
          <w:bCs/>
          <w:iCs/>
          <w:sz w:val="20"/>
          <w:szCs w:val="20"/>
          <w:lang w:val="en-US" w:eastAsia="zh-CN"/>
        </w:rPr>
        <w:t>I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 w:eastAsia="zh-CN"/>
        </w:rPr>
        <w:t xml:space="preserve">n 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 xml:space="preserve">previous 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 w:eastAsia="zh-CN"/>
        </w:rPr>
        <w:t>RAN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>#106 meetings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 w:eastAsia="zh-CN"/>
        </w:rPr>
        <w:t xml:space="preserve">, the 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 xml:space="preserve">WID scope 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 w:eastAsia="zh-CN"/>
        </w:rPr>
        <w:t xml:space="preserve">of </w:t>
      </w:r>
      <w:r>
        <w:rPr>
          <w:rFonts w:hint="default" w:ascii="Times New Roman" w:hAnsi="Times New Roman" w:cs="Times New Roman"/>
          <w:bCs/>
          <w:iCs/>
          <w:sz w:val="20"/>
          <w:szCs w:val="20"/>
        </w:rPr>
        <w:t xml:space="preserve">downlink coverage 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 w:eastAsia="zh-CN"/>
        </w:rPr>
        <w:t xml:space="preserve">enhancement </w:t>
      </w:r>
      <w:r>
        <w:rPr>
          <w:rFonts w:hint="default" w:ascii="Times New Roman" w:hAnsi="Times New Roman" w:cs="Times New Roman"/>
          <w:bCs/>
          <w:iCs/>
          <w:sz w:val="20"/>
          <w:szCs w:val="20"/>
        </w:rPr>
        <w:t>in NR NTN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 w:eastAsia="zh-CN"/>
        </w:rPr>
        <w:t xml:space="preserve"> had been discussed, 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 xml:space="preserve"> the following agreements has acheived: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 w14:paraId="5D5ED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081" w:type="dxa"/>
          </w:tcPr>
          <w:p w14:paraId="46A5C0B3">
            <w:pPr>
              <w:pStyle w:val="37"/>
              <w:widowControl w:val="0"/>
              <w:numPr>
                <w:ilvl w:val="1"/>
                <w:numId w:val="7"/>
              </w:numPr>
              <w:tabs>
                <w:tab w:val="left" w:pos="0"/>
              </w:tabs>
              <w:spacing w:after="0"/>
              <w:ind w:left="560" w:leftChars="0" w:firstLineChars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System-level enhancements are to be specified for the following:</w:t>
            </w:r>
          </w:p>
          <w:p w14:paraId="227E6330">
            <w:pPr>
              <w:pStyle w:val="37"/>
              <w:numPr>
                <w:ilvl w:val="2"/>
                <w:numId w:val="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1560" w:leftChars="0" w:firstLineChars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Support of extended periodicity of the half frames with SS/PBCH blocks assumed by UE during initial access.</w:t>
            </w:r>
          </w:p>
          <w:p w14:paraId="65A6C4A1">
            <w:pPr>
              <w:pStyle w:val="37"/>
              <w:numPr>
                <w:ilvl w:val="3"/>
                <w:numId w:val="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2160" w:leftChars="0" w:firstLineChars="0"/>
              <w:jc w:val="both"/>
              <w:rPr>
                <w:rFonts w:hint="default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highlight w:val="yellow"/>
              </w:rPr>
              <w:t>The maximum of the additional default value (apart from the existing 20ms value) is 160 ms</w:t>
            </w:r>
          </w:p>
          <w:p w14:paraId="1AC92210">
            <w:pPr>
              <w:pStyle w:val="37"/>
              <w:numPr>
                <w:ilvl w:val="3"/>
                <w:numId w:val="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2160" w:leftChars="0" w:firstLineChars="0"/>
              <w:jc w:val="both"/>
              <w:rPr>
                <w:rFonts w:hint="default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>...</w:t>
            </w:r>
          </w:p>
          <w:p w14:paraId="20D8FE8B">
            <w:pPr>
              <w:pStyle w:val="37"/>
              <w:widowControl w:val="0"/>
              <w:numPr>
                <w:ilvl w:val="1"/>
                <w:numId w:val="7"/>
              </w:numPr>
              <w:spacing w:after="0"/>
              <w:jc w:val="both"/>
              <w:rPr>
                <w:rFonts w:ascii="Times New Roman" w:hAnsi="Times New Roman"/>
                <w:strike/>
                <w:dstrike w:val="0"/>
                <w:sz w:val="20"/>
                <w:szCs w:val="20"/>
              </w:rPr>
            </w:pPr>
            <w:r>
              <w:rPr>
                <w:rFonts w:ascii="Times New Roman" w:hAnsi="Times New Roman"/>
                <w:strike/>
                <w:dstrike w:val="0"/>
                <w:sz w:val="20"/>
                <w:szCs w:val="20"/>
              </w:rPr>
              <w:t>Rel-18 network energy saving techniques should be considered as baseline in the system level study</w:t>
            </w:r>
          </w:p>
          <w:p w14:paraId="4B4205D3">
            <w:pPr>
              <w:pStyle w:val="37"/>
              <w:numPr>
                <w:ilvl w:val="2"/>
                <w:numId w:val="7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1560" w:leftChars="0" w:hanging="360" w:firstLineChars="0"/>
              <w:jc w:val="both"/>
              <w:rPr>
                <w:rFonts w:hint="default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69280059">
      <w:pPr>
        <w:adjustRightInd w:val="0"/>
        <w:snapToGrid w:val="0"/>
        <w:rPr>
          <w:rFonts w:hint="eastAsia" w:cs="Times New Roman"/>
          <w:bCs/>
          <w:iCs/>
          <w:sz w:val="20"/>
          <w:szCs w:val="20"/>
          <w:lang w:val="en-US" w:eastAsia="zh-CN"/>
        </w:rPr>
      </w:pPr>
    </w:p>
    <w:p w14:paraId="5C38D9B4">
      <w:pPr>
        <w:adjustRightInd w:val="0"/>
        <w:snapToGrid w:val="0"/>
        <w:rPr>
          <w:rFonts w:hint="default" w:ascii="Times New Roman" w:hAnsi="Times New Roman" w:cs="Times New Roman" w:eastAsiaTheme="minorEastAsia"/>
          <w:bCs/>
          <w:iCs/>
          <w:sz w:val="20"/>
          <w:szCs w:val="20"/>
          <w:lang w:val="en-US" w:eastAsia="zh-CN"/>
        </w:rPr>
      </w:pPr>
      <w:r>
        <w:rPr>
          <w:rFonts w:hint="eastAsia" w:cs="Times New Roman"/>
          <w:bCs/>
          <w:iCs/>
          <w:sz w:val="20"/>
          <w:szCs w:val="20"/>
          <w:lang w:val="en-US" w:eastAsia="zh-CN"/>
        </w:rPr>
        <w:t xml:space="preserve">This means </w:t>
      </w:r>
      <w:r>
        <w:rPr>
          <w:rFonts w:hint="eastAsia" w:ascii="Times New Roman" w:hAnsi="Times New Roman" w:cs="Times New Roman"/>
          <w:bCs/>
          <w:iCs/>
          <w:sz w:val="20"/>
          <w:szCs w:val="20"/>
        </w:rPr>
        <w:t>RAN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Cs/>
          <w:iCs/>
          <w:sz w:val="20"/>
          <w:szCs w:val="20"/>
        </w:rPr>
        <w:t xml:space="preserve">has 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 xml:space="preserve">agreed that the maximum of the extended default SSB dectetion periodicity is 160ms. As we konw, the current RRC signalling can support the SSB </w:t>
      </w:r>
      <w:r>
        <w:rPr>
          <w:rFonts w:ascii="Times New Roman" w:hAnsi="Times New Roman"/>
          <w:szCs w:val="20"/>
        </w:rPr>
        <w:t xml:space="preserve">periodicity </w:t>
      </w:r>
      <w:r>
        <w:rPr>
          <w:rFonts w:hint="eastAsia"/>
          <w:szCs w:val="20"/>
          <w:lang w:val="en-US" w:eastAsia="zh-CN"/>
        </w:rPr>
        <w:t>value of 160ms,  hence, i</w:t>
      </w:r>
      <w:r>
        <w:rPr>
          <w:rFonts w:hint="eastAsia" w:ascii="Times New Roman" w:hAnsi="Times New Roman" w:cs="Times New Roman"/>
          <w:bCs/>
          <w:iCs/>
          <w:sz w:val="20"/>
          <w:szCs w:val="20"/>
        </w:rPr>
        <w:t>n this contribution, we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 xml:space="preserve"> will further</w:t>
      </w:r>
      <w:r>
        <w:rPr>
          <w:rFonts w:hint="eastAsia" w:ascii="Times New Roman" w:hAnsi="Times New Roman" w:cs="Times New Roman"/>
          <w:bCs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 w:val="20"/>
          <w:szCs w:val="20"/>
        </w:rPr>
        <w:t>provide</w:t>
      </w:r>
      <w:r>
        <w:rPr>
          <w:rFonts w:hint="eastAsia" w:ascii="Times New Roman" w:hAnsi="Times New Roman" w:cs="Times New Roman"/>
          <w:bCs/>
          <w:iCs/>
          <w:sz w:val="20"/>
          <w:szCs w:val="20"/>
        </w:rPr>
        <w:t xml:space="preserve"> our views on on RAN2 aspects of DL coverage enhancements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 xml:space="preserve"> under this limitation</w:t>
      </w:r>
      <w:r>
        <w:rPr>
          <w:rFonts w:hint="eastAsia" w:ascii="Times New Roman" w:hAnsi="Times New Roman" w:cs="Times New Roman"/>
          <w:bCs/>
          <w:iCs/>
          <w:sz w:val="20"/>
          <w:szCs w:val="20"/>
        </w:rPr>
        <w:t>.</w:t>
      </w:r>
    </w:p>
    <w:p w14:paraId="1A48956B">
      <w:pPr>
        <w:pStyle w:val="2"/>
        <w:keepNext w:val="0"/>
        <w:widowControl w:val="0"/>
        <w:numPr>
          <w:ilvl w:val="0"/>
          <w:numId w:val="6"/>
        </w:numPr>
        <w:pBdr>
          <w:top w:val="single" w:color="auto" w:sz="12" w:space="3"/>
        </w:pBdr>
        <w:spacing w:before="240" w:after="180"/>
        <w:ind w:left="0" w:right="0" w:firstLine="0"/>
        <w:rPr>
          <w:rFonts w:hint="eastAsia"/>
          <w:lang w:val="en-US" w:eastAsia="zh-CN"/>
        </w:rPr>
      </w:pPr>
      <w:r>
        <w:rPr>
          <w:rFonts w:hint="eastAsia" w:ascii="Arial" w:hAnsi="Arial" w:eastAsia="宋体" w:cs="Times New Roman"/>
          <w:b w:val="0"/>
          <w:sz w:val="36"/>
          <w:lang w:val="en-US" w:eastAsia="zh-CN" w:bidi="ar-SA"/>
        </w:rPr>
        <w:t>SMTC impacts for DL Coverage enhancement</w:t>
      </w:r>
      <w:r>
        <w:rPr>
          <w:rFonts w:hint="eastAsia"/>
          <w:lang w:val="en-US" w:eastAsia="zh-CN"/>
        </w:rPr>
        <w:t xml:space="preserve"> </w:t>
      </w:r>
    </w:p>
    <w:p w14:paraId="569874C3">
      <w:pPr>
        <w:spacing w:before="120" w:beforeLines="50" w:after="120" w:afterLines="50"/>
        <w:rPr>
          <w:rFonts w:hint="eastAsia" w:cs="Times New Roman"/>
          <w:bCs/>
          <w:iCs/>
          <w:sz w:val="20"/>
          <w:szCs w:val="20"/>
          <w:lang w:val="en-US" w:eastAsia="zh-CN"/>
        </w:rPr>
      </w:pPr>
      <w:r>
        <w:rPr>
          <w:rFonts w:hint="eastAsia" w:cs="Times New Roman"/>
          <w:bCs/>
          <w:iCs/>
          <w:sz w:val="20"/>
          <w:szCs w:val="20"/>
          <w:lang w:val="en-US" w:eastAsia="zh-CN"/>
        </w:rPr>
        <w:t>I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 w:eastAsia="zh-CN"/>
        </w:rPr>
        <w:t xml:space="preserve">n 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 xml:space="preserve">previous 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 w:eastAsia="zh-CN"/>
        </w:rPr>
        <w:t>RAN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>2#128 meetings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 w:eastAsia="zh-CN"/>
        </w:rPr>
        <w:t xml:space="preserve">, 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 xml:space="preserve">SMTC impacts for </w:t>
      </w:r>
      <w:r>
        <w:rPr>
          <w:rFonts w:hint="default" w:ascii="Times New Roman" w:hAnsi="Times New Roman" w:cs="Times New Roman"/>
          <w:bCs/>
          <w:iCs/>
          <w:sz w:val="20"/>
          <w:szCs w:val="20"/>
        </w:rPr>
        <w:t xml:space="preserve">downlink coverage 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 w:eastAsia="zh-CN"/>
        </w:rPr>
        <w:t xml:space="preserve">enhancement </w:t>
      </w:r>
      <w:r>
        <w:rPr>
          <w:rFonts w:hint="default" w:ascii="Times New Roman" w:hAnsi="Times New Roman" w:cs="Times New Roman"/>
          <w:bCs/>
          <w:iCs/>
          <w:sz w:val="20"/>
          <w:szCs w:val="20"/>
        </w:rPr>
        <w:t>in NR NTN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 w:eastAsia="zh-CN"/>
        </w:rPr>
        <w:t xml:space="preserve"> had been discussed, 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 xml:space="preserve"> the following agreements has acheived:</w:t>
      </w:r>
    </w:p>
    <w:p w14:paraId="07D05616">
      <w:pPr>
        <w:pStyle w:val="36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Agreements:</w:t>
      </w:r>
    </w:p>
    <w:p w14:paraId="619958EB">
      <w:pPr>
        <w:pStyle w:val="36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1.</w:t>
      </w:r>
      <w:r>
        <w:tab/>
      </w:r>
      <w:r>
        <w:t>As part of the work on DL-CE, RAN2 investigates related UE power consumption impact (including legacy UEs)</w:t>
      </w:r>
    </w:p>
    <w:p w14:paraId="7F31DC30">
      <w:pPr>
        <w:pStyle w:val="36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2.</w:t>
      </w:r>
      <w:r>
        <w:tab/>
      </w:r>
      <w:r>
        <w:t xml:space="preserve">RAN2 will consider </w:t>
      </w:r>
      <w:r>
        <w:rPr>
          <w:highlight w:val="yellow"/>
        </w:rPr>
        <w:t>whether to introduce separate signalling</w:t>
      </w:r>
      <w:r>
        <w:t xml:space="preserve"> (e.g. new SMTC5 list) for DL CE cells SMTCs, e.g. if different periodicities need to be signalled or to prevent reselection to specific cells</w:t>
      </w:r>
    </w:p>
    <w:p w14:paraId="7132E47C">
      <w:pPr>
        <w:rPr>
          <w:rFonts w:hint="default"/>
          <w:lang w:val="en-US" w:eastAsia="zh-CN"/>
        </w:rPr>
      </w:pPr>
    </w:p>
    <w:p w14:paraId="3C72C7B8">
      <w:pPr>
        <w:spacing w:after="120" w:afterLines="5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According to the WID objective, 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 xml:space="preserve"> the maximum of the extended default SSB dectetion periodicity is 160ms</w:t>
      </w:r>
      <w:r>
        <w:rPr>
          <w:rFonts w:hint="eastAsia" w:cs="Times New Roman"/>
          <w:lang w:val="en-US" w:eastAsia="zh-CN"/>
        </w:rPr>
        <w:t xml:space="preserve">: </w:t>
      </w:r>
    </w:p>
    <w:p w14:paraId="309FF13E">
      <w:pPr>
        <w:spacing w:before="180" w:after="180"/>
        <w:rPr>
          <w:rFonts w:hint="eastAsia" w:ascii="Times New Roman" w:hAnsi="Times New Roman" w:cs="Times New Roman"/>
          <w:b/>
          <w:bCs/>
          <w:kern w:val="0"/>
          <w:sz w:val="20"/>
          <w:szCs w:val="20"/>
          <w:lang w:val="en-US" w:eastAsia="zh-CN"/>
        </w:rPr>
      </w:pPr>
      <w:r>
        <w:rPr>
          <w:rFonts w:hint="eastAsia"/>
          <w:lang w:val="en-US" w:eastAsia="zh-CN"/>
        </w:rPr>
        <w:t xml:space="preserve">Currentlty, </w:t>
      </w:r>
      <w:bookmarkStart w:id="0" w:name="OLE_LINK5"/>
      <w:bookmarkStart w:id="1" w:name="OLE_LINK6"/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t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he main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argument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was </w:t>
      </w:r>
      <w:r>
        <w:rPr>
          <w:rFonts w:hint="eastAsia" w:ascii="Times New Roman" w:hAnsi="Times New Roman" w:cs="Times New Roman"/>
          <w:b/>
          <w:bCs/>
          <w:kern w:val="0"/>
          <w:sz w:val="20"/>
          <w:szCs w:val="20"/>
          <w:lang w:val="en-US" w:eastAsia="zh-CN"/>
        </w:rPr>
        <w:t>whether to extend the SMTC number.</w:t>
      </w:r>
    </w:p>
    <w:p w14:paraId="310D855E">
      <w:pPr>
        <w:spacing w:before="180" w:after="180"/>
        <w:rPr>
          <w:rFonts w:hint="eastAsia" w:cs="Times New Roman"/>
          <w:bCs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kern w:val="0"/>
          <w:sz w:val="20"/>
          <w:szCs w:val="20"/>
          <w:lang w:val="en-US" w:eastAsia="zh-CN"/>
        </w:rPr>
        <w:t>Firstly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, there is no need to extend the number of SMTC due to 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>default SSB dectetion periodicity extension, since current SMTC/SSB configuration siganalling can support the periodicity value of 160ms.</w:t>
      </w:r>
    </w:p>
    <w:p w14:paraId="2B74B692">
      <w:pPr>
        <w:spacing w:before="180" w:after="180"/>
        <w:rPr>
          <w:rFonts w:hint="default" w:ascii="Times New Roman" w:hAnsi="Times New Roman" w:cs="Times New Roman" w:eastAsiaTheme="minorEastAsia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/>
          <w:bCs w:val="0"/>
          <w:iCs/>
          <w:sz w:val="20"/>
          <w:szCs w:val="20"/>
          <w:lang w:val="en-US" w:eastAsia="zh-CN"/>
        </w:rPr>
        <w:t>Secondly,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 xml:space="preserve"> as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a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serving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cell has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more than one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neighbour cells typically, and a separate SMTC may be needed for each of the neighbour cell, because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offsets of neighbour cells' SMTCs may be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not synchronized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between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each other,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in case of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the beam hopping.</w:t>
      </w:r>
      <w:bookmarkEnd w:id="0"/>
      <w:bookmarkEnd w:id="1"/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lang w:val="en-US" w:eastAsia="ko-KR"/>
        </w:rPr>
        <w:t xml:space="preserve">However, before discussing the required number of SMTCs, we need to analyze how beam hopping affects the SMTC configuration, which requires a precise understanding of how the SSBs are transmitted via beam hopping. </w:t>
      </w:r>
    </w:p>
    <w:p w14:paraId="0BC489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our understanding, f</w:t>
      </w:r>
      <w:r>
        <w:rPr>
          <w:rFonts w:hint="eastAsia"/>
          <w:highlight w:val="none"/>
          <w:lang w:val="en-US" w:eastAsia="zh-CN"/>
        </w:rPr>
        <w:t xml:space="preserve">or the </w:t>
      </w:r>
      <w:r>
        <w:rPr>
          <w:rFonts w:hint="eastAsia"/>
          <w:b/>
          <w:bCs/>
          <w:highlight w:val="none"/>
          <w:lang w:val="en-US" w:eastAsia="zh-CN"/>
        </w:rPr>
        <w:t>NTN cell</w:t>
      </w:r>
      <w:r>
        <w:rPr>
          <w:rFonts w:hint="eastAsia"/>
          <w:highlight w:val="none"/>
          <w:lang w:val="en-US" w:eastAsia="zh-CN"/>
        </w:rPr>
        <w:t>, a</w:t>
      </w:r>
      <w:r>
        <w:rPr>
          <w:rFonts w:hint="default" w:ascii="Times New Roman" w:hAnsi="Times New Roman" w:cs="Times New Roman"/>
          <w:lang w:val="en-US" w:eastAsia="zh-CN"/>
        </w:rPr>
        <w:t xml:space="preserve">ccording to the agreed assumption in RAN1, </w:t>
      </w:r>
      <w:r>
        <w:rPr>
          <w:rFonts w:hint="eastAsia" w:cs="Times New Roman"/>
          <w:lang w:val="en-US" w:eastAsia="zh-CN"/>
        </w:rPr>
        <w:t>a</w:t>
      </w:r>
      <w:r>
        <w:rPr>
          <w:rFonts w:hint="default" w:ascii="Times New Roman" w:hAnsi="Times New Roman" w:cs="Times New Roman"/>
          <w:lang w:val="en-US" w:eastAsia="zh-CN"/>
        </w:rPr>
        <w:t xml:space="preserve"> satellite may have large satellite footprint and limited feeder link bandwidth, especially in </w:t>
      </w:r>
      <w:r>
        <w:rPr>
          <w:rFonts w:hint="default" w:ascii="Times New Roman" w:hAnsi="Times New Roman" w:cs="Times New Roman"/>
          <w:b/>
          <w:kern w:val="24"/>
          <w:szCs w:val="20"/>
        </w:rPr>
        <w:t>Set1-2</w:t>
      </w:r>
      <w:r>
        <w:rPr>
          <w:rFonts w:hint="eastAsia" w:cs="Times New Roman"/>
          <w:b/>
          <w:kern w:val="24"/>
          <w:szCs w:val="20"/>
          <w:lang w:val="en-US" w:eastAsia="zh-CN"/>
        </w:rPr>
        <w:t xml:space="preserve"> </w:t>
      </w:r>
      <w:r>
        <w:rPr>
          <w:rFonts w:hint="eastAsia" w:cs="Times New Roman"/>
          <w:b w:val="0"/>
          <w:bCs/>
          <w:kern w:val="24"/>
          <w:szCs w:val="20"/>
          <w:lang w:val="en-US" w:eastAsia="zh-CN"/>
        </w:rPr>
        <w:t>in RAN1 agreement</w:t>
      </w:r>
      <w:r>
        <w:rPr>
          <w:rFonts w:hint="default" w:ascii="Times New Roman" w:hAnsi="Times New Roman" w:cs="Times New Roman"/>
          <w:lang w:val="en-US" w:eastAsia="zh-CN"/>
        </w:rPr>
        <w:t xml:space="preserve">. </w:t>
      </w:r>
      <w:r>
        <w:rPr>
          <w:rFonts w:hint="eastAsia" w:cs="Times New Roman"/>
          <w:lang w:val="en-US" w:eastAsia="zh-CN"/>
        </w:rPr>
        <w:t>F</w:t>
      </w:r>
      <w:r>
        <w:rPr>
          <w:rFonts w:hint="default" w:ascii="Times New Roman" w:hAnsi="Times New Roman" w:cs="Times New Roman"/>
          <w:lang w:val="en-US" w:eastAsia="zh-CN"/>
        </w:rPr>
        <w:t xml:space="preserve">or </w:t>
      </w:r>
      <w:r>
        <w:rPr>
          <w:rFonts w:hint="default" w:ascii="Times New Roman" w:hAnsi="Times New Roman" w:cs="Times New Roman"/>
          <w:b/>
          <w:kern w:val="24"/>
          <w:szCs w:val="20"/>
        </w:rPr>
        <w:t>Set1-2</w:t>
      </w:r>
      <w:r>
        <w:rPr>
          <w:rFonts w:hint="default" w:ascii="Times New Roman" w:hAnsi="Times New Roman" w:cs="Times New Roman"/>
          <w:lang w:val="en-US" w:eastAsia="zh-CN"/>
        </w:rPr>
        <w:t xml:space="preserve">, the number of active beams is just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16</w:t>
      </w:r>
      <w:r>
        <w:rPr>
          <w:rFonts w:hint="default" w:ascii="Times New Roman" w:hAnsi="Times New Roman" w:cs="Times New Roman"/>
          <w:lang w:val="en-US" w:eastAsia="zh-CN"/>
        </w:rPr>
        <w:t xml:space="preserve">, which is constrained by satellite payload capability, it </w:t>
      </w:r>
      <w:r>
        <w:rPr>
          <w:rFonts w:hint="eastAsia" w:cs="Times New Roman"/>
          <w:lang w:val="en-US" w:eastAsia="zh-CN"/>
        </w:rPr>
        <w:t>is</w:t>
      </w:r>
      <w:r>
        <w:rPr>
          <w:rFonts w:hint="default" w:ascii="Times New Roman" w:hAnsi="Times New Roman" w:cs="Times New Roman"/>
          <w:lang w:val="en-US" w:eastAsia="zh-CN"/>
        </w:rPr>
        <w:t xml:space="preserve"> not be able to provide NR service for all beam footprints, the total number of the beam footprints is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1058</w:t>
      </w:r>
      <w:r>
        <w:rPr>
          <w:rFonts w:hint="default" w:ascii="Times New Roman" w:hAnsi="Times New Roman" w:cs="Times New Roman"/>
          <w:lang w:val="en-US" w:eastAsia="zh-CN"/>
        </w:rPr>
        <w:t xml:space="preserve">.  </w:t>
      </w:r>
    </w:p>
    <w:p w14:paraId="2B139FE2">
      <w:pPr>
        <w:spacing w:after="120" w:afterLines="50"/>
        <w:jc w:val="center"/>
        <w:rPr>
          <w:rFonts w:hint="default" w:cs="Times New Roman"/>
          <w:b w:val="0"/>
          <w:bCs w:val="0"/>
          <w:lang w:val="en-US" w:eastAsia="zh-CN"/>
        </w:rPr>
      </w:pPr>
      <w:r>
        <w:rPr>
          <w:rFonts w:hint="default" w:cs="Times New Roman"/>
          <w:b w:val="0"/>
          <w:bCs w:val="0"/>
          <w:lang w:val="en-US" w:eastAsia="zh-CN"/>
        </w:rPr>
        <w:object>
          <v:shape id="_x0000_i1025" o:spt="75" alt="" type="#_x0000_t75" style="height:91.15pt;width:262.9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4">
            <o:LockedField>false</o:LockedField>
          </o:OLEObject>
        </w:object>
      </w:r>
    </w:p>
    <w:p w14:paraId="66CA509F">
      <w:pPr>
        <w:pStyle w:val="11"/>
        <w:rPr>
          <w:i/>
          <w:iCs/>
        </w:rPr>
      </w:pPr>
      <w:r>
        <w:rPr>
          <w:rFonts w:hint="eastAsia" w:cs="Times New Roman"/>
          <w:b/>
          <w:bCs/>
          <w:lang w:val="en-US" w:eastAsia="zh-CN"/>
        </w:rPr>
        <w:t xml:space="preserve">Figure 1 Two scenarios of </w:t>
      </w:r>
      <w:r>
        <w:t>the satellite target coverage area</w:t>
      </w:r>
      <w:r>
        <w:rPr>
          <w:rFonts w:hint="eastAsia" w:hAnsi="Cambria Math" w:cs="Times New Roman"/>
          <w:b/>
          <w:bCs/>
          <w:i w:val="0"/>
          <w:lang w:val="en-US" w:eastAsia="zh-CN"/>
        </w:rPr>
        <w:t xml:space="preserve"> in </w:t>
      </w:r>
      <w:r>
        <w:rPr>
          <w:rFonts w:hint="eastAsia" w:cs="Times New Roman"/>
          <w:b/>
          <w:bCs/>
          <w:lang w:val="en-US" w:eastAsia="zh-CN"/>
        </w:rPr>
        <w:t>NTN system</w:t>
      </w:r>
    </w:p>
    <w:p w14:paraId="527BB806">
      <w:pPr>
        <w:pStyle w:val="44"/>
        <w:numPr>
          <w:ilvl w:val="0"/>
          <w:numId w:val="0"/>
        </w:numPr>
        <w:ind w:left="360" w:leftChars="0"/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</w:pPr>
    </w:p>
    <w:p w14:paraId="1FBA9A2F">
      <w:r>
        <w:rPr>
          <w:rFonts w:hint="eastAsia" w:cs="Times New Roman"/>
          <w:b w:val="0"/>
          <w:bCs w:val="0"/>
          <w:lang w:val="en-US" w:eastAsia="zh-CN"/>
        </w:rPr>
        <w:t xml:space="preserve">As shown in Figure1, </w:t>
      </w:r>
      <w:r>
        <w:rPr>
          <w:rFonts w:hint="eastAsia"/>
          <w:lang w:val="en-US" w:eastAsia="zh-CN"/>
        </w:rPr>
        <w:t>t</w:t>
      </w:r>
      <w:r>
        <w:t xml:space="preserve">here are mainly </w:t>
      </w:r>
      <w:r>
        <w:rPr>
          <w:rFonts w:hint="eastAsia"/>
          <w:lang w:val="en-US" w:eastAsia="zh-CN"/>
        </w:rPr>
        <w:t>2</w:t>
      </w:r>
      <w:r>
        <w:t xml:space="preserve"> options which can be considered for the mapping of NR beams and NR cells to </w:t>
      </w:r>
      <w:r>
        <w:rPr>
          <w:rFonts w:hint="eastAsia"/>
          <w:lang w:val="en-US" w:eastAsia="zh-CN"/>
        </w:rPr>
        <w:t>one</w:t>
      </w:r>
      <w:r>
        <w:t xml:space="preserve"> satellite beams:</w:t>
      </w:r>
    </w:p>
    <w:p w14:paraId="5E581D5D">
      <w:pPr>
        <w:numPr>
          <w:ilvl w:val="0"/>
          <w:numId w:val="8"/>
        </w:numPr>
        <w:ind w:left="420" w:leftChars="0" w:hanging="420" w:firstLineChars="0"/>
        <w:rPr>
          <w:rFonts w:hint="default" w:cs="Times New Roman"/>
          <w:b w:val="0"/>
          <w:bCs w:val="0"/>
          <w:lang w:val="en-US" w:eastAsia="zh-CN"/>
        </w:rPr>
      </w:pPr>
      <w:r>
        <w:rPr>
          <w:rFonts w:hint="eastAsia"/>
          <w:b/>
          <w:lang w:val="en-US" w:eastAsia="zh-CN"/>
        </w:rPr>
        <w:t>Scenario</w:t>
      </w:r>
      <w:r>
        <w:rPr>
          <w:b/>
        </w:rPr>
        <w:t xml:space="preserve"> 1: </w:t>
      </w:r>
      <w:r>
        <w:rPr>
          <w:rFonts w:hint="eastAsia"/>
          <w:b/>
          <w:lang w:val="en-US" w:eastAsia="zh-CN"/>
        </w:rPr>
        <w:t>Different PCIs</w:t>
      </w:r>
      <w:r>
        <w:rPr>
          <w:b/>
        </w:rPr>
        <w:t xml:space="preserve"> </w:t>
      </w:r>
      <w:r>
        <w:rPr>
          <w:rFonts w:hint="eastAsia"/>
          <w:b/>
          <w:lang w:val="en-US" w:eastAsia="zh-CN"/>
        </w:rPr>
        <w:t>for</w:t>
      </w:r>
      <w:r>
        <w:rPr>
          <w:b/>
        </w:rPr>
        <w:t xml:space="preserve"> </w:t>
      </w:r>
      <w:r>
        <w:rPr>
          <w:rFonts w:hint="eastAsia"/>
          <w:b/>
          <w:lang w:val="en-US" w:eastAsia="zh-CN"/>
        </w:rPr>
        <w:t>mutiple</w:t>
      </w:r>
      <w:r>
        <w:rPr>
          <w:b/>
        </w:rPr>
        <w:t xml:space="preserve"> bea</w:t>
      </w:r>
      <w:r>
        <w:rPr>
          <w:rFonts w:hint="eastAsia"/>
          <w:b/>
          <w:lang w:val="en-US" w:eastAsia="zh-CN"/>
        </w:rPr>
        <w:t xml:space="preserve">m </w:t>
      </w:r>
      <w:r>
        <w:rPr>
          <w:rFonts w:hint="default"/>
          <w:b/>
          <w:lang w:val="en-US" w:eastAsia="zh-CN"/>
        </w:rPr>
        <w:t>footprints</w:t>
      </w:r>
      <w:r>
        <w:rPr>
          <w:rFonts w:hint="eastAsia"/>
          <w:b/>
          <w:lang w:val="en-US" w:eastAsia="zh-CN"/>
        </w:rPr>
        <w:t xml:space="preserve"> in one satellite </w:t>
      </w:r>
      <w:r>
        <w:rPr>
          <w:b/>
        </w:rPr>
        <w:t>cell</w:t>
      </w:r>
      <w:r>
        <w:rPr>
          <w:rFonts w:hint="eastAsia"/>
          <w:b/>
          <w:lang w:val="en-US" w:eastAsia="zh-CN"/>
        </w:rPr>
        <w:t xml:space="preserve"> (1-to-1 mapping);</w:t>
      </w:r>
    </w:p>
    <w:p w14:paraId="64DB8B41">
      <w:pPr>
        <w:numPr>
          <w:ilvl w:val="0"/>
          <w:numId w:val="8"/>
        </w:numPr>
        <w:ind w:left="420" w:leftChars="0" w:hanging="420" w:firstLineChars="0"/>
        <w:rPr>
          <w:b/>
        </w:rPr>
      </w:pPr>
      <w:r>
        <w:rPr>
          <w:rFonts w:hint="eastAsia"/>
          <w:b/>
          <w:lang w:val="en-US" w:eastAsia="zh-CN"/>
        </w:rPr>
        <w:t>Scenario</w:t>
      </w:r>
      <w:r>
        <w:rPr>
          <w:b/>
        </w:rPr>
        <w:t xml:space="preserve"> 2: </w:t>
      </w:r>
      <w:r>
        <w:rPr>
          <w:rFonts w:hint="eastAsia"/>
          <w:b/>
          <w:lang w:val="en-US" w:eastAsia="zh-CN"/>
        </w:rPr>
        <w:t xml:space="preserve">Single PCI for </w:t>
      </w:r>
      <w:r>
        <w:rPr>
          <w:b/>
        </w:rPr>
        <w:t xml:space="preserve">Multi-beam </w:t>
      </w:r>
      <w:r>
        <w:rPr>
          <w:rFonts w:hint="default"/>
          <w:b/>
          <w:lang w:val="en-US" w:eastAsia="zh-CN"/>
        </w:rPr>
        <w:t>footprints</w:t>
      </w:r>
      <w:r>
        <w:rPr>
          <w:rFonts w:hint="eastAsia"/>
          <w:b/>
          <w:lang w:val="en-US" w:eastAsia="zh-CN"/>
        </w:rPr>
        <w:t xml:space="preserve"> in one satellite </w:t>
      </w:r>
      <w:r>
        <w:rPr>
          <w:b/>
        </w:rPr>
        <w:t>cell</w:t>
      </w:r>
      <w:r>
        <w:rPr>
          <w:rFonts w:hint="eastAsia"/>
          <w:b/>
          <w:lang w:val="en-US" w:eastAsia="zh-CN"/>
        </w:rPr>
        <w:t xml:space="preserve"> (multiple-to-1 mapping)</w:t>
      </w:r>
    </w:p>
    <w:p w14:paraId="755AAAB0">
      <w:pPr>
        <w:spacing w:after="120" w:afterLines="50"/>
        <w:rPr>
          <w:rFonts w:hint="eastAsia" w:cs="Times New Roman"/>
          <w:b w:val="0"/>
          <w:bCs w:val="0"/>
          <w:lang w:val="en-US" w:eastAsia="zh-CN"/>
        </w:rPr>
      </w:pPr>
    </w:p>
    <w:p w14:paraId="44CD8CFF">
      <w:pPr>
        <w:spacing w:after="120" w:afterLines="50"/>
        <w:rPr>
          <w:rFonts w:hint="default"/>
          <w:lang w:val="en-US" w:eastAsia="zh-CN"/>
        </w:rPr>
      </w:pPr>
      <w:r>
        <w:rPr>
          <w:rFonts w:hint="eastAsia" w:cs="Times New Roman"/>
          <w:b w:val="0"/>
          <w:bCs w:val="0"/>
          <w:lang w:val="en-US" w:eastAsia="zh-CN"/>
        </w:rPr>
        <w:t xml:space="preserve">Regarding </w:t>
      </w:r>
      <w:r>
        <w:rPr>
          <w:rFonts w:hint="eastAsia"/>
          <w:b/>
          <w:lang w:val="en-US" w:eastAsia="zh-CN"/>
        </w:rPr>
        <w:t>Scenario</w:t>
      </w:r>
      <w:r>
        <w:rPr>
          <w:b/>
        </w:rPr>
        <w:t xml:space="preserve"> 1</w:t>
      </w:r>
      <w:r>
        <w:rPr>
          <w:rFonts w:hint="eastAsia"/>
          <w:b/>
          <w:lang w:val="en-US" w:eastAsia="zh-CN"/>
        </w:rPr>
        <w:t xml:space="preserve">, </w:t>
      </w:r>
      <w:r>
        <w:t xml:space="preserve">which might be considered as a baseline consist in one-to-one mapping of </w:t>
      </w:r>
      <w:r>
        <w:rPr>
          <w:rFonts w:hint="eastAsia"/>
          <w:lang w:val="en-US" w:eastAsia="zh-CN"/>
        </w:rPr>
        <w:t xml:space="preserve">one beam (similar to one Terrestrial-network cell) </w:t>
      </w:r>
      <w:r>
        <w:t xml:space="preserve">to Satellite </w:t>
      </w:r>
      <w:r>
        <w:rPr>
          <w:rFonts w:hint="eastAsia"/>
          <w:lang w:val="en-US" w:eastAsia="zh-CN"/>
        </w:rPr>
        <w:t>cell</w:t>
      </w:r>
      <w:r>
        <w:t xml:space="preserve">. In option 1, the </w:t>
      </w:r>
      <w:r>
        <w:rPr>
          <w:rFonts w:hint="eastAsia"/>
          <w:lang w:val="en-US" w:eastAsia="zh-CN"/>
        </w:rPr>
        <w:t>beam hopping can be modelled</w:t>
      </w:r>
      <w:r>
        <w:rPr>
          <w:rFonts w:hint="eastAsia"/>
          <w:b/>
          <w:bCs/>
          <w:lang w:val="en-US" w:eastAsia="zh-CN"/>
        </w:rPr>
        <w:t xml:space="preserve"> as cell switching</w:t>
      </w:r>
      <w:r>
        <w:t xml:space="preserve">. </w:t>
      </w:r>
      <w:r>
        <w:rPr>
          <w:rFonts w:hint="eastAsia"/>
          <w:lang w:val="en-US" w:eastAsia="zh-CN"/>
        </w:rPr>
        <w:t xml:space="preserve">Hence, </w:t>
      </w:r>
      <w:r>
        <w:t>NR Beam management operation is not needed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 w:cs="Times New Roman"/>
          <w:lang w:val="en-US" w:eastAsia="zh-CN"/>
        </w:rPr>
        <w:t>the current</w:t>
      </w:r>
      <w:r>
        <w:t xml:space="preserve"> </w:t>
      </w:r>
      <w:r>
        <w:rPr>
          <w:rFonts w:hint="eastAsia"/>
          <w:lang w:val="en-US" w:eastAsia="zh-CN"/>
        </w:rPr>
        <w:t>SMTC number and pattern definition is sufficient.</w:t>
      </w:r>
      <w:r>
        <w:t xml:space="preserve"> </w:t>
      </w:r>
    </w:p>
    <w:p w14:paraId="0B9A65F9">
      <w:pPr>
        <w:spacing w:after="120" w:afterLines="50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/>
        </w:rPr>
        <w:t xml:space="preserve">Proposal 1: for senario1, i.e. </w:t>
      </w:r>
      <w:r>
        <w:rPr>
          <w:rFonts w:hint="eastAsia"/>
          <w:b/>
          <w:lang w:val="en-US" w:eastAsia="zh-CN"/>
        </w:rPr>
        <w:t>different PCIs</w:t>
      </w:r>
      <w:r>
        <w:rPr>
          <w:b/>
        </w:rPr>
        <w:t xml:space="preserve"> </w:t>
      </w:r>
      <w:r>
        <w:rPr>
          <w:rFonts w:hint="eastAsia"/>
          <w:b/>
          <w:lang w:val="en-US" w:eastAsia="zh-CN"/>
        </w:rPr>
        <w:t>for</w:t>
      </w:r>
      <w:r>
        <w:rPr>
          <w:b/>
        </w:rPr>
        <w:t xml:space="preserve"> </w:t>
      </w:r>
      <w:r>
        <w:rPr>
          <w:rFonts w:hint="eastAsia"/>
          <w:b/>
          <w:lang w:val="en-US" w:eastAsia="zh-CN"/>
        </w:rPr>
        <w:t>mutiple</w:t>
      </w:r>
      <w:r>
        <w:rPr>
          <w:b/>
        </w:rPr>
        <w:t xml:space="preserve"> bea</w:t>
      </w:r>
      <w:r>
        <w:rPr>
          <w:rFonts w:hint="eastAsia"/>
          <w:b/>
          <w:lang w:val="en-US" w:eastAsia="zh-CN"/>
        </w:rPr>
        <w:t xml:space="preserve">m </w:t>
      </w:r>
      <w:r>
        <w:rPr>
          <w:rFonts w:hint="default"/>
          <w:b/>
          <w:lang w:val="en-US" w:eastAsia="zh-CN"/>
        </w:rPr>
        <w:t>footprints</w:t>
      </w:r>
      <w:r>
        <w:rPr>
          <w:rFonts w:hint="eastAsia"/>
          <w:b/>
          <w:lang w:val="en-US" w:eastAsia="zh-CN"/>
        </w:rPr>
        <w:t xml:space="preserve"> in one satellite </w:t>
      </w:r>
      <w:r>
        <w:rPr>
          <w:b/>
        </w:rPr>
        <w:t>cell</w:t>
      </w:r>
      <w:r>
        <w:rPr>
          <w:rFonts w:hint="eastAsia"/>
          <w:b/>
          <w:lang w:val="en-US" w:eastAsia="zh-CN"/>
        </w:rPr>
        <w:t xml:space="preserve"> (1-to-1 mapping)</w:t>
      </w:r>
      <w:r>
        <w:rPr>
          <w:rFonts w:hint="eastAsia" w:cs="Times New Roman"/>
          <w:b/>
          <w:bCs/>
          <w:lang w:val="en-US" w:eastAsia="zh-CN"/>
        </w:rPr>
        <w:t xml:space="preserve">, the </w:t>
      </w:r>
      <w:r>
        <w:rPr>
          <w:rFonts w:hint="eastAsia"/>
          <w:b/>
          <w:bCs/>
        </w:rPr>
        <w:t>current SMTC number and pattern definition is sufficient.</w:t>
      </w:r>
    </w:p>
    <w:p w14:paraId="22027E0A">
      <w:pPr>
        <w:rPr>
          <w:rFonts w:hint="eastAsia"/>
          <w:lang w:val="en-US" w:eastAsia="zh-CN"/>
        </w:rPr>
      </w:pPr>
      <w:r>
        <w:rPr>
          <w:rFonts w:hint="eastAsia" w:cs="Times New Roman"/>
          <w:b w:val="0"/>
          <w:bCs w:val="0"/>
          <w:lang w:val="en-US" w:eastAsia="zh-CN"/>
        </w:rPr>
        <w:t xml:space="preserve">Then for scenario 2, </w:t>
      </w:r>
      <w:r>
        <w:t>multiple NR beams per NR cell</w:t>
      </w:r>
      <w:r>
        <w:rPr>
          <w:rFonts w:hint="eastAsia"/>
          <w:lang w:val="en-US" w:eastAsia="zh-CN"/>
        </w:rPr>
        <w:t>, with</w:t>
      </w:r>
      <w:r>
        <w:t xml:space="preserve"> the same cell (PCI) is mapped to </w:t>
      </w:r>
      <w:r>
        <w:rPr>
          <w:rFonts w:hint="eastAsia"/>
          <w:lang w:val="en-US" w:eastAsia="zh-CN"/>
        </w:rPr>
        <w:t>partial numbers of</w:t>
      </w:r>
      <w:r>
        <w:t xml:space="preserve"> satellite beams</w:t>
      </w:r>
      <w:r>
        <w:rPr>
          <w:rFonts w:hint="eastAsia"/>
          <w:lang w:val="en-US" w:eastAsia="zh-CN"/>
        </w:rPr>
        <w:t xml:space="preserve"> (e.g., quarter beams in one satellite cell)</w:t>
      </w:r>
      <w:r>
        <w:t xml:space="preserve">. </w:t>
      </w:r>
      <w:r>
        <w:rPr>
          <w:rFonts w:hint="eastAsia"/>
          <w:lang w:val="en-US" w:eastAsia="zh-CN"/>
        </w:rPr>
        <w:t>This means for different</w:t>
      </w:r>
      <w:r>
        <w:rPr>
          <w:rFonts w:hint="eastAsia"/>
          <w:b w:val="0"/>
          <w:bCs w:val="0"/>
          <w:lang w:val="en-US" w:eastAsia="zh-CN"/>
        </w:rPr>
        <w:t xml:space="preserve"> beam/footprint (group) in a single cell,  there will be different SSB start offset. Therefore, </w:t>
      </w:r>
      <w:r>
        <w:rPr>
          <w:rFonts w:hint="eastAsia"/>
          <w:lang w:val="en-US" w:eastAsia="zh-CN"/>
        </w:rPr>
        <w:t xml:space="preserve"> the current granulartiy of </w:t>
      </w:r>
      <w:r>
        <w:rPr>
          <w:rFonts w:hint="eastAsia" w:cs="Times New Roman"/>
          <w:lang w:val="en-US" w:eastAsia="zh-CN"/>
        </w:rPr>
        <w:t>the current</w:t>
      </w:r>
      <w:r>
        <w:t xml:space="preserve"> </w:t>
      </w:r>
      <w:r>
        <w:rPr>
          <w:rFonts w:hint="eastAsia"/>
          <w:lang w:val="en-US" w:eastAsia="zh-CN"/>
        </w:rPr>
        <w:t>SMTC number and SSB pattern definition is possible not sufficient at least for the UE in idle/inactive mode, even for the serving cell measurement itself.</w:t>
      </w:r>
      <w:r>
        <w:t xml:space="preserve">  </w:t>
      </w:r>
      <w:r>
        <w:rPr>
          <w:rFonts w:hint="eastAsia"/>
          <w:lang w:val="en-US" w:eastAsia="zh-CN"/>
        </w:rPr>
        <w:t>Since for the connected UE, the RRC signalling can be indicated in UE-specific level to address the issue.</w:t>
      </w:r>
    </w:p>
    <w:p w14:paraId="6AF7BEDA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6252845" cy="942340"/>
            <wp:effectExtent l="0" t="0" r="5080" b="63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5284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B4F5E">
      <w:pPr>
        <w:rPr>
          <w:rFonts w:hint="eastAsia"/>
          <w:lang w:val="en-US" w:eastAsia="zh-CN"/>
        </w:rPr>
      </w:pPr>
    </w:p>
    <w:p w14:paraId="4D5DFBD9">
      <w:pPr>
        <w:pStyle w:val="11"/>
        <w:rPr>
          <w:rFonts w:hint="eastAsia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/>
        </w:rPr>
        <w:t>Figure 2 illustrates the time-domain positioning information of SSB in satellite scenarios with beam hopping</w:t>
      </w:r>
    </w:p>
    <w:p w14:paraId="5C85EE2E">
      <w:pPr>
        <w:rPr>
          <w:rFonts w:hint="eastAsia" w:cs="Times New Roman"/>
          <w:b/>
          <w:bCs/>
          <w:lang w:val="en-US" w:eastAsia="zh-CN"/>
        </w:rPr>
      </w:pPr>
    </w:p>
    <w:p w14:paraId="1B629C3B">
      <w:pPr>
        <w:rPr>
          <w:rFonts w:hint="eastAsia" w:cs="Times New Roman"/>
          <w:b/>
          <w:bCs/>
          <w:lang w:val="en-US" w:eastAsia="zh-CN"/>
        </w:rPr>
      </w:pPr>
    </w:p>
    <w:p w14:paraId="2AC39723">
      <w:pPr>
        <w:rPr>
          <w:rFonts w:hint="eastAsia" w:cs="Times New Roman"/>
          <w:b/>
          <w:bCs/>
          <w:lang w:val="en-US" w:eastAsia="zh-CN"/>
        </w:rPr>
      </w:pPr>
      <w:r>
        <w:drawing>
          <wp:inline distT="0" distB="0" distL="114300" distR="114300">
            <wp:extent cx="6249670" cy="1962150"/>
            <wp:effectExtent l="0" t="0" r="825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4967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13869">
      <w:pPr>
        <w:rPr>
          <w:rFonts w:hint="eastAsia" w:cs="Times New Roman"/>
          <w:b/>
          <w:bCs/>
          <w:lang w:val="en-US" w:eastAsia="zh-CN"/>
        </w:rPr>
      </w:pPr>
    </w:p>
    <w:p w14:paraId="13D31BF6">
      <w:pPr>
        <w:pStyle w:val="11"/>
        <w:rPr>
          <w:rFonts w:hint="eastAsia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/>
        </w:rPr>
        <w:t>Figure 3 illustrates diverse SSB delivery modes in satellite scenarios with beam hopping</w:t>
      </w:r>
    </w:p>
    <w:p w14:paraId="4BBAD5B5">
      <w:pPr>
        <w:rPr>
          <w:rFonts w:hint="default" w:cs="Times New Roman"/>
          <w:b/>
          <w:bCs/>
          <w:lang w:val="en-US" w:eastAsia="zh-CN"/>
        </w:rPr>
      </w:pPr>
    </w:p>
    <w:p w14:paraId="785D1AEF">
      <w:pPr>
        <w:rPr>
          <w:rFonts w:hint="eastAsia"/>
          <w:lang w:val="en-US" w:eastAsia="zh-CN"/>
        </w:rPr>
      </w:pPr>
    </w:p>
    <w:p w14:paraId="633720B2">
      <w:pPr>
        <w:rPr>
          <w:b/>
          <w:bCs/>
        </w:rPr>
      </w:pPr>
      <w:r>
        <w:rPr>
          <w:rFonts w:hint="eastAsia"/>
          <w:b/>
          <w:bCs/>
          <w:lang w:val="en-US" w:eastAsia="zh-CN"/>
        </w:rPr>
        <w:t xml:space="preserve">Observation 1: Since for different beam/footprint (group) in a single cell,  there will be different SSB start offset,  the current granulartiy of </w:t>
      </w:r>
      <w:r>
        <w:rPr>
          <w:rFonts w:hint="eastAsia" w:cs="Times New Roman"/>
          <w:b/>
          <w:bCs/>
          <w:lang w:val="en-US" w:eastAsia="zh-CN"/>
        </w:rPr>
        <w:t>the current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SMTC number and SSB pattern definition is possible not sufficient at least for the UE in idle/inactive mode, even for the serving cell measurement itself.</w:t>
      </w:r>
      <w:r>
        <w:rPr>
          <w:b/>
          <w:bCs/>
        </w:rPr>
        <w:t xml:space="preserve"> </w:t>
      </w:r>
    </w:p>
    <w:p w14:paraId="66E9EF35">
      <w:pPr>
        <w:rPr>
          <w:rFonts w:hint="default"/>
          <w:b/>
          <w:bCs/>
          <w:lang w:val="en-US" w:eastAsia="zh-CN"/>
        </w:rPr>
      </w:pPr>
    </w:p>
    <w:p w14:paraId="3E1F58BA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 xml:space="preserve">Moreover, since the </w:t>
      </w:r>
      <w:r>
        <w:rPr>
          <w:rFonts w:hint="eastAsia"/>
          <w:b w:val="0"/>
          <w:bCs w:val="0"/>
          <w:lang w:val="en-US" w:eastAsia="zh-CN"/>
        </w:rPr>
        <w:t xml:space="preserve">Rel-18 NES DTX/DRX pattern had been excluded in last RAN plenary, there is no way to combine the multiple </w:t>
      </w:r>
      <w:r>
        <w:rPr>
          <w:rFonts w:hint="eastAsia"/>
          <w:b w:val="0"/>
          <w:bCs w:val="0"/>
          <w:lang w:val="en-US" w:eastAsia="zh-CN"/>
        </w:rPr>
        <w:t xml:space="preserve">NES DTX/DRX pattern (for example, in beam/footprint level) and current </w:t>
      </w:r>
      <w:r>
        <w:rPr>
          <w:rFonts w:hint="eastAsia"/>
          <w:lang w:val="en-US" w:eastAsia="zh-CN"/>
        </w:rPr>
        <w:t xml:space="preserve">SMTC/SSB pattern in </w:t>
      </w:r>
      <w:r>
        <w:rPr>
          <w:rFonts w:hint="eastAsia"/>
          <w:b w:val="0"/>
          <w:bCs w:val="0"/>
          <w:lang w:val="en-US" w:eastAsia="zh-CN"/>
        </w:rPr>
        <w:t xml:space="preserve">cell/carrier level. </w:t>
      </w:r>
    </w:p>
    <w:p w14:paraId="5CE9463C">
      <w:pPr>
        <w:rPr>
          <w:rFonts w:hint="eastAsia"/>
          <w:b w:val="0"/>
          <w:bCs w:val="0"/>
          <w:lang w:val="en-US" w:eastAsia="zh-CN"/>
        </w:rPr>
      </w:pPr>
    </w:p>
    <w:p w14:paraId="1461A050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Observation 2: </w:t>
      </w:r>
      <w:r>
        <w:rPr>
          <w:rFonts w:hint="eastAsia"/>
          <w:b/>
          <w:bCs/>
          <w:lang w:val="en-US" w:eastAsia="zh-CN"/>
        </w:rPr>
        <w:t xml:space="preserve">since the Rel-18 NES DTX/DRX pattern had been excluded in last RAN plenary, there is no way to combine the multiple NES DTX/DRX pattern (for example, in beam/footprint level) and current SMTC/SSB pattern in cell/carrier level. </w:t>
      </w:r>
    </w:p>
    <w:p w14:paraId="60EF6FCC">
      <w:pPr>
        <w:rPr>
          <w:rFonts w:hint="eastAsia"/>
          <w:b w:val="0"/>
          <w:bCs w:val="0"/>
          <w:lang w:val="en-US" w:eastAsia="zh-CN"/>
        </w:rPr>
      </w:pPr>
    </w:p>
    <w:p w14:paraId="44D4AACE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Therefore, there are the following candidates for the issue:</w:t>
      </w:r>
    </w:p>
    <w:p w14:paraId="559D7C4E">
      <w:pPr>
        <w:numPr>
          <w:ilvl w:val="0"/>
          <w:numId w:val="9"/>
        </w:numPr>
        <w:ind w:left="0" w:leftChars="0" w:firstLine="40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Introduce </w:t>
      </w:r>
      <w:r>
        <w:rPr>
          <w:rFonts w:hint="eastAsia"/>
          <w:b/>
          <w:bCs/>
          <w:lang w:val="en-US" w:eastAsia="zh-CN"/>
        </w:rPr>
        <w:t>multiple SMTC/SSB patterns</w:t>
      </w:r>
      <w:r>
        <w:rPr>
          <w:rFonts w:hint="eastAsia"/>
          <w:lang w:val="en-US" w:eastAsia="zh-CN"/>
        </w:rPr>
        <w:t xml:space="preserve"> for each </w:t>
      </w:r>
      <w:r>
        <w:rPr>
          <w:rFonts w:hint="eastAsia"/>
          <w:b w:val="0"/>
          <w:bCs w:val="0"/>
          <w:lang w:val="en-US" w:eastAsia="zh-CN"/>
        </w:rPr>
        <w:t>beam/footprint (group) in a single cell with different SSB start offset;</w:t>
      </w:r>
    </w:p>
    <w:p w14:paraId="17FB02C6">
      <w:pPr>
        <w:numPr>
          <w:ilvl w:val="0"/>
          <w:numId w:val="9"/>
        </w:numPr>
        <w:ind w:left="0" w:leftChars="0" w:firstLine="40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Remaining </w:t>
      </w:r>
      <w:r>
        <w:rPr>
          <w:rFonts w:hint="eastAsia"/>
          <w:b/>
          <w:bCs/>
          <w:lang w:val="en-US" w:eastAsia="zh-CN"/>
        </w:rPr>
        <w:t>the current SMTC/SSB pattern defintion with some additial information</w:t>
      </w:r>
      <w:r>
        <w:rPr>
          <w:rFonts w:hint="eastAsia"/>
          <w:lang w:val="en-US" w:eastAsia="zh-CN"/>
        </w:rPr>
        <w:t xml:space="preserve"> to enable the UE idle/inactive mode to identity the specific SSB reception location/window to avoid unnecessary power consumption.</w:t>
      </w:r>
    </w:p>
    <w:p w14:paraId="1C4FD722"/>
    <w:p w14:paraId="6C2FC7F0">
      <w:pPr>
        <w:rPr>
          <w:rFonts w:hint="eastAsia"/>
          <w:lang w:val="en-US" w:eastAsia="zh-CN"/>
        </w:rPr>
      </w:pPr>
    </w:p>
    <w:p w14:paraId="71491A15">
      <w:pPr>
        <w:numPr>
          <w:ilvl w:val="0"/>
          <w:numId w:val="0"/>
        </w:numPr>
        <w:ind w:leftChars="0"/>
        <w:rPr>
          <w:b/>
        </w:rPr>
      </w:pPr>
      <w:r>
        <w:rPr>
          <w:rFonts w:hint="eastAsia" w:cs="Times New Roman"/>
          <w:b/>
          <w:bCs/>
          <w:lang w:val="en-US" w:eastAsia="zh-CN"/>
        </w:rPr>
        <w:t xml:space="preserve">Proposal 2: for senario2, i.e. </w:t>
      </w:r>
      <w:r>
        <w:rPr>
          <w:rFonts w:hint="eastAsia"/>
          <w:b/>
          <w:lang w:val="en-US" w:eastAsia="zh-CN"/>
        </w:rPr>
        <w:t xml:space="preserve">Single PCI for </w:t>
      </w:r>
      <w:r>
        <w:rPr>
          <w:b/>
        </w:rPr>
        <w:t xml:space="preserve">Multi-beam </w:t>
      </w:r>
      <w:r>
        <w:rPr>
          <w:rFonts w:hint="default"/>
          <w:b/>
          <w:lang w:val="en-US" w:eastAsia="zh-CN"/>
        </w:rPr>
        <w:t>footprints</w:t>
      </w:r>
      <w:r>
        <w:rPr>
          <w:rFonts w:hint="eastAsia"/>
          <w:b/>
          <w:lang w:val="en-US" w:eastAsia="zh-CN"/>
        </w:rPr>
        <w:t xml:space="preserve"> in one satellite </w:t>
      </w:r>
      <w:r>
        <w:rPr>
          <w:b/>
        </w:rPr>
        <w:t>cell</w:t>
      </w:r>
      <w:r>
        <w:rPr>
          <w:rFonts w:hint="eastAsia"/>
          <w:b/>
          <w:lang w:val="en-US" w:eastAsia="zh-CN"/>
        </w:rPr>
        <w:t xml:space="preserve"> (multiple-to-1 mapping)</w:t>
      </w:r>
    </w:p>
    <w:p w14:paraId="5B739FDB">
      <w:pPr>
        <w:spacing w:after="120" w:afterLines="50"/>
        <w:rPr>
          <w:rFonts w:hint="eastAsia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/>
        </w:rPr>
        <w:t>, RAN2 should consider the following candidates to address the issue:</w:t>
      </w:r>
    </w:p>
    <w:p w14:paraId="176888AD">
      <w:pPr>
        <w:numPr>
          <w:numId w:val="0"/>
        </w:numPr>
        <w:ind w:left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Alt 1: introduce </w:t>
      </w:r>
      <w:r>
        <w:rPr>
          <w:rFonts w:hint="eastAsia"/>
          <w:b/>
          <w:bCs/>
          <w:lang w:val="en-US" w:eastAsia="zh-CN"/>
        </w:rPr>
        <w:t>multiple SMTC/SSB patterns for each beam/footprint (group) in a single cell with different SSB start offset;</w:t>
      </w:r>
    </w:p>
    <w:p w14:paraId="40A63900">
      <w:pPr>
        <w:numPr>
          <w:numId w:val="0"/>
        </w:numPr>
        <w:ind w:leftChars="20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Alt 2: </w:t>
      </w:r>
      <w:r>
        <w:rPr>
          <w:rFonts w:hint="eastAsia"/>
          <w:b/>
          <w:bCs/>
          <w:lang w:val="en-US" w:eastAsia="zh-CN"/>
        </w:rPr>
        <w:t xml:space="preserve">Remaining </w:t>
      </w:r>
      <w:r>
        <w:rPr>
          <w:rFonts w:hint="eastAsia"/>
          <w:b/>
          <w:bCs/>
          <w:lang w:val="en-US" w:eastAsia="zh-CN"/>
        </w:rPr>
        <w:t>the current SMTC/SSB pattern defintion with some additial information, e.g., beam/footprint/location information,  to enable the UE idle/inactive mode to identity the specific SSB reception location/window to avoid unnecessary power consumption.</w:t>
      </w:r>
    </w:p>
    <w:p w14:paraId="67B325C0">
      <w:pPr>
        <w:pStyle w:val="2"/>
        <w:keepNext w:val="0"/>
        <w:widowControl w:val="0"/>
        <w:numPr>
          <w:ilvl w:val="0"/>
          <w:numId w:val="6"/>
        </w:numPr>
        <w:pBdr>
          <w:top w:val="single" w:color="auto" w:sz="12" w:space="3"/>
        </w:pBdr>
        <w:spacing w:before="240" w:after="180"/>
        <w:ind w:left="0" w:right="0" w:firstLine="0"/>
        <w:rPr>
          <w:rFonts w:hint="default" w:ascii="Arial" w:hAnsi="Arial" w:eastAsia="宋体" w:cs="Times New Roman"/>
          <w:b w:val="0"/>
          <w:sz w:val="36"/>
          <w:lang w:val="en-GB" w:eastAsia="zh-CN" w:bidi="ar-SA"/>
        </w:rPr>
      </w:pPr>
      <w:bookmarkStart w:id="16" w:name="_GoBack"/>
      <w:bookmarkEnd w:id="16"/>
      <w:r>
        <w:rPr>
          <w:rFonts w:hint="eastAsia" w:eastAsia="宋体" w:cs="Times New Roman"/>
          <w:b w:val="0"/>
          <w:sz w:val="36"/>
          <w:lang w:val="en-US" w:eastAsia="zh-CN" w:bidi="ar-SA"/>
        </w:rPr>
        <w:t>Summary</w:t>
      </w:r>
    </w:p>
    <w:p w14:paraId="7567066D">
      <w:pPr>
        <w:rPr>
          <w:b/>
          <w:bCs/>
        </w:rPr>
      </w:pPr>
      <w:r>
        <w:rPr>
          <w:rFonts w:hint="eastAsia"/>
          <w:b/>
          <w:bCs/>
          <w:lang w:val="en-US" w:eastAsia="zh-CN"/>
        </w:rPr>
        <w:t xml:space="preserve">Observation 1: Since for different beam/footprint (group) in a single cell,  there will be different SSB start offset,  the current granulartiy of </w:t>
      </w:r>
      <w:r>
        <w:rPr>
          <w:rFonts w:hint="eastAsia" w:cs="Times New Roman"/>
          <w:b/>
          <w:bCs/>
          <w:lang w:val="en-US" w:eastAsia="zh-CN"/>
        </w:rPr>
        <w:t>the current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SMTC number and SSB pattern definition is possible not sufficient at least for the UE in idle/inactive mode, even for the serving cell measurement itself.</w:t>
      </w:r>
      <w:r>
        <w:rPr>
          <w:b/>
          <w:bCs/>
        </w:rPr>
        <w:t xml:space="preserve"> </w:t>
      </w:r>
    </w:p>
    <w:p w14:paraId="6F5DF6A4">
      <w:pPr>
        <w:rPr>
          <w:rFonts w:hint="default"/>
          <w:b/>
          <w:bCs/>
          <w:lang w:val="en-US" w:eastAsia="zh-CN"/>
        </w:rPr>
      </w:pPr>
    </w:p>
    <w:p w14:paraId="6195C95F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Observation 2: since the Rel-18 NES DTX/DRX pattern had been excluded in last RAN plenary, there is no way to combine the multiple NES DTX/DRX pattern (for example, in beam/footprint level) and current SMTC/SSB pattern in cell/carrier level. </w:t>
      </w:r>
    </w:p>
    <w:p w14:paraId="7700FFE6">
      <w:pPr>
        <w:rPr>
          <w:rFonts w:hint="default"/>
          <w:lang w:val="en-GB" w:eastAsia="zh-CN"/>
        </w:rPr>
      </w:pPr>
    </w:p>
    <w:p w14:paraId="1869B566">
      <w:pPr>
        <w:spacing w:after="120" w:afterLines="50"/>
        <w:rPr>
          <w:rFonts w:hint="eastAsia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/>
        </w:rPr>
        <w:t xml:space="preserve">Proposal 1: for senario1, i.e. </w:t>
      </w:r>
      <w:r>
        <w:rPr>
          <w:rFonts w:hint="eastAsia"/>
          <w:b/>
          <w:lang w:val="en-US" w:eastAsia="zh-CN"/>
        </w:rPr>
        <w:t>different PCIs</w:t>
      </w:r>
      <w:r>
        <w:rPr>
          <w:b/>
        </w:rPr>
        <w:t xml:space="preserve"> </w:t>
      </w:r>
      <w:r>
        <w:rPr>
          <w:rFonts w:hint="eastAsia"/>
          <w:b/>
          <w:lang w:val="en-US" w:eastAsia="zh-CN"/>
        </w:rPr>
        <w:t>for</w:t>
      </w:r>
      <w:r>
        <w:rPr>
          <w:b/>
        </w:rPr>
        <w:t xml:space="preserve"> </w:t>
      </w:r>
      <w:r>
        <w:rPr>
          <w:rFonts w:hint="eastAsia"/>
          <w:b/>
          <w:lang w:val="en-US" w:eastAsia="zh-CN"/>
        </w:rPr>
        <w:t>mutiple</w:t>
      </w:r>
      <w:r>
        <w:rPr>
          <w:b/>
        </w:rPr>
        <w:t xml:space="preserve"> bea</w:t>
      </w:r>
      <w:r>
        <w:rPr>
          <w:rFonts w:hint="eastAsia"/>
          <w:b/>
          <w:lang w:val="en-US" w:eastAsia="zh-CN"/>
        </w:rPr>
        <w:t xml:space="preserve">m </w:t>
      </w:r>
      <w:r>
        <w:rPr>
          <w:rFonts w:hint="default"/>
          <w:b/>
          <w:lang w:val="en-US" w:eastAsia="zh-CN"/>
        </w:rPr>
        <w:t>footprints</w:t>
      </w:r>
      <w:r>
        <w:rPr>
          <w:rFonts w:hint="eastAsia"/>
          <w:b/>
          <w:lang w:val="en-US" w:eastAsia="zh-CN"/>
        </w:rPr>
        <w:t xml:space="preserve"> in one satellite </w:t>
      </w:r>
      <w:r>
        <w:rPr>
          <w:b/>
        </w:rPr>
        <w:t>cell</w:t>
      </w:r>
      <w:r>
        <w:rPr>
          <w:rFonts w:hint="eastAsia"/>
          <w:b/>
          <w:lang w:val="en-US" w:eastAsia="zh-CN"/>
        </w:rPr>
        <w:t xml:space="preserve"> (1-to-1 mapping)</w:t>
      </w:r>
      <w:r>
        <w:rPr>
          <w:rFonts w:hint="eastAsia" w:cs="Times New Roman"/>
          <w:b/>
          <w:bCs/>
          <w:lang w:val="en-US" w:eastAsia="zh-CN"/>
        </w:rPr>
        <w:t xml:space="preserve">, the </w:t>
      </w:r>
      <w:r>
        <w:rPr>
          <w:rFonts w:hint="eastAsia"/>
          <w:b/>
          <w:bCs/>
        </w:rPr>
        <w:t>current SMTC number and pattern definition is sufficient.</w:t>
      </w:r>
    </w:p>
    <w:p w14:paraId="787BF974">
      <w:pPr>
        <w:numPr>
          <w:ilvl w:val="0"/>
          <w:numId w:val="0"/>
        </w:numPr>
        <w:ind w:leftChars="0"/>
        <w:rPr>
          <w:b/>
        </w:rPr>
      </w:pPr>
      <w:r>
        <w:rPr>
          <w:rFonts w:hint="eastAsia" w:cs="Times New Roman"/>
          <w:b/>
          <w:bCs/>
          <w:lang w:val="en-US" w:eastAsia="zh-CN"/>
        </w:rPr>
        <w:t xml:space="preserve">Proposal 2: for senario2, i.e. </w:t>
      </w:r>
      <w:r>
        <w:rPr>
          <w:rFonts w:hint="eastAsia"/>
          <w:b/>
          <w:lang w:val="en-US" w:eastAsia="zh-CN"/>
        </w:rPr>
        <w:t xml:space="preserve">Single PCI for </w:t>
      </w:r>
      <w:r>
        <w:rPr>
          <w:b/>
        </w:rPr>
        <w:t xml:space="preserve">Multi-beam </w:t>
      </w:r>
      <w:r>
        <w:rPr>
          <w:rFonts w:hint="default"/>
          <w:b/>
          <w:lang w:val="en-US" w:eastAsia="zh-CN"/>
        </w:rPr>
        <w:t>footprints</w:t>
      </w:r>
      <w:r>
        <w:rPr>
          <w:rFonts w:hint="eastAsia"/>
          <w:b/>
          <w:lang w:val="en-US" w:eastAsia="zh-CN"/>
        </w:rPr>
        <w:t xml:space="preserve"> in one satellite </w:t>
      </w:r>
      <w:r>
        <w:rPr>
          <w:b/>
        </w:rPr>
        <w:t>cell</w:t>
      </w:r>
      <w:r>
        <w:rPr>
          <w:rFonts w:hint="eastAsia"/>
          <w:b/>
          <w:lang w:val="en-US" w:eastAsia="zh-CN"/>
        </w:rPr>
        <w:t xml:space="preserve"> (multiple-to-1 mapping)</w:t>
      </w:r>
    </w:p>
    <w:p w14:paraId="3EB3B9E7">
      <w:pPr>
        <w:spacing w:after="120" w:afterLines="50"/>
        <w:rPr>
          <w:rFonts w:hint="eastAsia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/>
        </w:rPr>
        <w:t>, RAN2 should consider the following candidates to address the issue:</w:t>
      </w:r>
    </w:p>
    <w:p w14:paraId="605FE854">
      <w:pPr>
        <w:numPr>
          <w:ilvl w:val="0"/>
          <w:numId w:val="0"/>
        </w:numPr>
        <w:ind w:left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Alt 1: introduce multiple SMTC/SSB patterns for each beam/footprint (group) in a single cell with different SSB start offset;</w:t>
      </w:r>
    </w:p>
    <w:p w14:paraId="75EF71EF">
      <w:pPr>
        <w:numPr>
          <w:ilvl w:val="0"/>
          <w:numId w:val="0"/>
        </w:numPr>
        <w:ind w:leftChars="20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Alt 2: Remaining the current SMTC/SSB pattern defintion with some additial information, e.g., beam/footprint/location information,  to enable the UE idle/inactive mode to identity the specific SSB reception location/window to avoid unnecessary power consumption.</w:t>
      </w:r>
    </w:p>
    <w:p w14:paraId="46A60BFD">
      <w:pPr>
        <w:spacing w:after="120" w:afterLines="50"/>
        <w:rPr>
          <w:rFonts w:hint="eastAsia" w:cs="Times New Roman"/>
          <w:b/>
          <w:bCs/>
          <w:lang w:val="en-US" w:eastAsia="zh-CN"/>
        </w:rPr>
      </w:pPr>
    </w:p>
    <w:p w14:paraId="5DBE3579">
      <w:pPr>
        <w:pStyle w:val="2"/>
        <w:keepNext w:val="0"/>
        <w:widowControl w:val="0"/>
        <w:numPr>
          <w:ilvl w:val="0"/>
          <w:numId w:val="6"/>
        </w:numPr>
        <w:pBdr>
          <w:top w:val="single" w:color="auto" w:sz="12" w:space="3"/>
        </w:pBdr>
        <w:spacing w:before="240" w:after="180"/>
        <w:ind w:left="0" w:right="0" w:firstLine="0"/>
        <w:rPr>
          <w:rFonts w:hint="default" w:ascii="Arial" w:hAnsi="Arial" w:eastAsia="宋体" w:cs="Times New Roman"/>
          <w:b w:val="0"/>
          <w:sz w:val="36"/>
          <w:lang w:val="en-GB" w:eastAsia="zh-CN" w:bidi="ar-SA"/>
        </w:rPr>
      </w:pPr>
      <w:r>
        <w:rPr>
          <w:rFonts w:hint="default" w:ascii="Arial" w:hAnsi="Arial" w:eastAsia="宋体" w:cs="Times New Roman"/>
          <w:b w:val="0"/>
          <w:sz w:val="36"/>
          <w:lang w:val="en-GB" w:eastAsia="zh-CN" w:bidi="ar-SA"/>
        </w:rPr>
        <w:t>References</w:t>
      </w:r>
      <w:bookmarkStart w:id="2" w:name="_Ref71203205"/>
      <w:bookmarkStart w:id="3" w:name="_Ref533782101"/>
      <w:bookmarkStart w:id="4" w:name="_Ref53511278"/>
      <w:bookmarkStart w:id="5" w:name="_Ref83712416"/>
      <w:bookmarkStart w:id="6" w:name="_Ref505807368"/>
      <w:bookmarkStart w:id="7" w:name="_Ref505867252"/>
      <w:bookmarkStart w:id="8" w:name="_Ref521313643"/>
      <w:bookmarkStart w:id="9" w:name="_Ref521162878"/>
      <w:bookmarkStart w:id="10" w:name="_Ref23496549"/>
      <w:bookmarkStart w:id="11" w:name="_Ref53491160"/>
      <w:bookmarkStart w:id="12" w:name="_Ref60817485"/>
      <w:bookmarkStart w:id="13" w:name="_Ref78875676"/>
      <w:bookmarkStart w:id="14" w:name="_Ref86784880"/>
      <w:bookmarkStart w:id="15" w:name="_Ref30757894"/>
    </w:p>
    <w:p w14:paraId="5CC578DD">
      <w:pPr>
        <w:pStyle w:val="37"/>
        <w:numPr>
          <w:ilvl w:val="0"/>
          <w:numId w:val="10"/>
        </w:numPr>
        <w:spacing w:before="120" w:after="120"/>
        <w:ind w:firstLineChars="0"/>
        <w:jc w:val="both"/>
        <w:rPr>
          <w:rFonts w:cs="Times New Roman"/>
          <w:sz w:val="20"/>
          <w:szCs w:val="20"/>
        </w:rPr>
      </w:pPr>
      <w:r>
        <w:rPr>
          <w:rFonts w:hint="eastAsia" w:cs="Times New Roman"/>
          <w:sz w:val="20"/>
          <w:szCs w:val="20"/>
        </w:rPr>
        <w:t>Chairman's Notes RAN</w:t>
      </w:r>
      <w:r>
        <w:rPr>
          <w:rFonts w:hint="eastAsia" w:cs="Times New Roman"/>
          <w:sz w:val="20"/>
          <w:szCs w:val="20"/>
          <w:lang w:val="en-US" w:eastAsia="zh-CN"/>
        </w:rPr>
        <w:t>2</w:t>
      </w:r>
      <w:r>
        <w:rPr>
          <w:rFonts w:hint="eastAsia" w:cs="Times New Roman"/>
          <w:sz w:val="20"/>
          <w:szCs w:val="20"/>
        </w:rPr>
        <w:t>#1</w:t>
      </w:r>
      <w:r>
        <w:rPr>
          <w:rFonts w:hint="eastAsia" w:cs="Times New Roman"/>
          <w:sz w:val="20"/>
          <w:szCs w:val="20"/>
          <w:lang w:val="en-US" w:eastAsia="zh-CN"/>
        </w:rPr>
        <w:t>28</w:t>
      </w:r>
    </w:p>
    <w:p w14:paraId="6F89AC18">
      <w:pPr>
        <w:pStyle w:val="37"/>
        <w:numPr>
          <w:ilvl w:val="0"/>
          <w:numId w:val="10"/>
        </w:numPr>
        <w:spacing w:before="120" w:after="120"/>
        <w:ind w:firstLineChars="0"/>
        <w:jc w:val="both"/>
        <w:rPr>
          <w:rFonts w:cs="Times New Roman"/>
          <w:sz w:val="20"/>
          <w:szCs w:val="20"/>
        </w:rPr>
      </w:pPr>
      <w:r>
        <w:rPr>
          <w:rFonts w:hint="eastAsia" w:cs="Times New Roman"/>
          <w:sz w:val="20"/>
          <w:szCs w:val="20"/>
        </w:rPr>
        <w:t>RP-243300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sz w:val="20"/>
          <w:szCs w:val="20"/>
        </w:rPr>
        <w:t>Rel-19 WID NR NTN phase 3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22ADD28">
      <w:pPr>
        <w:spacing w:after="120" w:afterLines="50"/>
        <w:rPr>
          <w:rFonts w:hint="default" w:cs="Times New Roman"/>
          <w:b/>
          <w:bCs/>
          <w:lang w:val="en-US" w:eastAsia="zh-CN"/>
        </w:rPr>
      </w:pPr>
    </w:p>
    <w:p w14:paraId="127CBBBD">
      <w:pPr>
        <w:spacing w:after="120" w:afterLines="50"/>
        <w:ind w:left="1134" w:hanging="1135" w:hangingChars="567"/>
        <w:rPr>
          <w:rFonts w:hint="default" w:ascii="Times New Roman" w:hAnsi="Times New Roman" w:cs="Times New Roman"/>
          <w:b/>
          <w:bCs/>
          <w:lang w:val="en-US"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E6F272"/>
    <w:multiLevelType w:val="singleLevel"/>
    <w:tmpl w:val="91E6F272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D24F3CDD"/>
    <w:multiLevelType w:val="singleLevel"/>
    <w:tmpl w:val="D24F3CDD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1F250011"/>
    <w:multiLevelType w:val="multilevel"/>
    <w:tmpl w:val="1F250011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 w:ascii="Times New Roman" w:hAnsi="Times New Roman" w:eastAsia="Times New Roman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23EC52FA"/>
    <w:multiLevelType w:val="multilevel"/>
    <w:tmpl w:val="23EC52FA"/>
    <w:lvl w:ilvl="0" w:tentative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992" w:hanging="567"/>
      </w:pPr>
      <w:rPr>
        <w:rFonts w:hint="eastAsia"/>
        <w:sz w:val="28"/>
        <w:szCs w:val="32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>
    <w:nsid w:val="2F0E75E3"/>
    <w:multiLevelType w:val="multilevel"/>
    <w:tmpl w:val="2F0E75E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5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5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7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3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2"/>
  </w:num>
  <w:num w:numId="5">
    <w:abstractNumId w:val="9"/>
  </w:num>
  <w:num w:numId="6">
    <w:abstractNumId w:val="4"/>
  </w:num>
  <w:num w:numId="7">
    <w:abstractNumId w:val="5"/>
  </w:num>
  <w:num w:numId="8">
    <w:abstractNumId w:val="0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2OTA3ODI2ZTZhNjY1YzVjYzhkNTg0MDk5NGZlMGMifQ=="/>
  </w:docVars>
  <w:rsids>
    <w:rsidRoot w:val="00A361F7"/>
    <w:rsid w:val="00000638"/>
    <w:rsid w:val="00000FE3"/>
    <w:rsid w:val="00001496"/>
    <w:rsid w:val="000015FC"/>
    <w:rsid w:val="00005435"/>
    <w:rsid w:val="000118D3"/>
    <w:rsid w:val="00020AC8"/>
    <w:rsid w:val="000227A5"/>
    <w:rsid w:val="00022A0D"/>
    <w:rsid w:val="00023C92"/>
    <w:rsid w:val="00024D4F"/>
    <w:rsid w:val="000256D2"/>
    <w:rsid w:val="00025ABA"/>
    <w:rsid w:val="00025C06"/>
    <w:rsid w:val="00033276"/>
    <w:rsid w:val="0003540D"/>
    <w:rsid w:val="000446FC"/>
    <w:rsid w:val="00046B91"/>
    <w:rsid w:val="000474C9"/>
    <w:rsid w:val="00050195"/>
    <w:rsid w:val="00054789"/>
    <w:rsid w:val="00054839"/>
    <w:rsid w:val="000659F8"/>
    <w:rsid w:val="00065DF8"/>
    <w:rsid w:val="00066C2F"/>
    <w:rsid w:val="000677C1"/>
    <w:rsid w:val="000847D6"/>
    <w:rsid w:val="0008674A"/>
    <w:rsid w:val="00091329"/>
    <w:rsid w:val="00093827"/>
    <w:rsid w:val="00094695"/>
    <w:rsid w:val="00096C6F"/>
    <w:rsid w:val="000A12B0"/>
    <w:rsid w:val="000A14C2"/>
    <w:rsid w:val="000A2997"/>
    <w:rsid w:val="000A339B"/>
    <w:rsid w:val="000A3703"/>
    <w:rsid w:val="000A6489"/>
    <w:rsid w:val="000B2824"/>
    <w:rsid w:val="000B3B9D"/>
    <w:rsid w:val="000B43AF"/>
    <w:rsid w:val="000B61F4"/>
    <w:rsid w:val="000C1ABF"/>
    <w:rsid w:val="000C1AD9"/>
    <w:rsid w:val="000C6ECF"/>
    <w:rsid w:val="000C71E8"/>
    <w:rsid w:val="000D38A4"/>
    <w:rsid w:val="000D3E32"/>
    <w:rsid w:val="000D5F74"/>
    <w:rsid w:val="000D60F4"/>
    <w:rsid w:val="000E031E"/>
    <w:rsid w:val="000E1453"/>
    <w:rsid w:val="000E6B05"/>
    <w:rsid w:val="000F0887"/>
    <w:rsid w:val="000F1A79"/>
    <w:rsid w:val="000F5ABA"/>
    <w:rsid w:val="00101785"/>
    <w:rsid w:val="0010755E"/>
    <w:rsid w:val="00110752"/>
    <w:rsid w:val="001114F0"/>
    <w:rsid w:val="00113478"/>
    <w:rsid w:val="00115DFF"/>
    <w:rsid w:val="00115E58"/>
    <w:rsid w:val="00116E38"/>
    <w:rsid w:val="0012016C"/>
    <w:rsid w:val="0012062F"/>
    <w:rsid w:val="001275D7"/>
    <w:rsid w:val="00132FD5"/>
    <w:rsid w:val="00135866"/>
    <w:rsid w:val="00137251"/>
    <w:rsid w:val="001507A9"/>
    <w:rsid w:val="00152576"/>
    <w:rsid w:val="00157677"/>
    <w:rsid w:val="001626EF"/>
    <w:rsid w:val="001630C3"/>
    <w:rsid w:val="0016463B"/>
    <w:rsid w:val="001663DF"/>
    <w:rsid w:val="00171F8B"/>
    <w:rsid w:val="00173EC7"/>
    <w:rsid w:val="00174076"/>
    <w:rsid w:val="001753D9"/>
    <w:rsid w:val="00175BD3"/>
    <w:rsid w:val="00180267"/>
    <w:rsid w:val="00181133"/>
    <w:rsid w:val="00181310"/>
    <w:rsid w:val="00181467"/>
    <w:rsid w:val="00182F60"/>
    <w:rsid w:val="00183DF4"/>
    <w:rsid w:val="00185857"/>
    <w:rsid w:val="00185A8A"/>
    <w:rsid w:val="0019433E"/>
    <w:rsid w:val="0019589A"/>
    <w:rsid w:val="001962E4"/>
    <w:rsid w:val="00197343"/>
    <w:rsid w:val="001A0712"/>
    <w:rsid w:val="001A48C7"/>
    <w:rsid w:val="001A5EF1"/>
    <w:rsid w:val="001A6399"/>
    <w:rsid w:val="001A7684"/>
    <w:rsid w:val="001B09E1"/>
    <w:rsid w:val="001B11F6"/>
    <w:rsid w:val="001B521D"/>
    <w:rsid w:val="001B69EA"/>
    <w:rsid w:val="001B6D3D"/>
    <w:rsid w:val="001C1A4C"/>
    <w:rsid w:val="001C3195"/>
    <w:rsid w:val="001C31FE"/>
    <w:rsid w:val="001C39A3"/>
    <w:rsid w:val="001C46B7"/>
    <w:rsid w:val="001C5E0F"/>
    <w:rsid w:val="001C62F8"/>
    <w:rsid w:val="001C65C6"/>
    <w:rsid w:val="001D7ADD"/>
    <w:rsid w:val="001E082D"/>
    <w:rsid w:val="001E1175"/>
    <w:rsid w:val="001E14F4"/>
    <w:rsid w:val="001E371C"/>
    <w:rsid w:val="001E6FF5"/>
    <w:rsid w:val="001E784D"/>
    <w:rsid w:val="001E7B49"/>
    <w:rsid w:val="001F3017"/>
    <w:rsid w:val="001F50D8"/>
    <w:rsid w:val="001F5CFC"/>
    <w:rsid w:val="002019DB"/>
    <w:rsid w:val="002049C6"/>
    <w:rsid w:val="00204E21"/>
    <w:rsid w:val="00205DF4"/>
    <w:rsid w:val="00206459"/>
    <w:rsid w:val="00206A60"/>
    <w:rsid w:val="00210078"/>
    <w:rsid w:val="002123B4"/>
    <w:rsid w:val="0021299C"/>
    <w:rsid w:val="00217123"/>
    <w:rsid w:val="00220E25"/>
    <w:rsid w:val="00222B91"/>
    <w:rsid w:val="0022414B"/>
    <w:rsid w:val="00224873"/>
    <w:rsid w:val="0022670A"/>
    <w:rsid w:val="002306E4"/>
    <w:rsid w:val="00233D22"/>
    <w:rsid w:val="002340D9"/>
    <w:rsid w:val="00235476"/>
    <w:rsid w:val="00236E4A"/>
    <w:rsid w:val="00242898"/>
    <w:rsid w:val="002478C2"/>
    <w:rsid w:val="00250523"/>
    <w:rsid w:val="00252DC0"/>
    <w:rsid w:val="0026070B"/>
    <w:rsid w:val="0026079F"/>
    <w:rsid w:val="00261DDE"/>
    <w:rsid w:val="0026256A"/>
    <w:rsid w:val="00263E44"/>
    <w:rsid w:val="002641B3"/>
    <w:rsid w:val="0026717A"/>
    <w:rsid w:val="00271263"/>
    <w:rsid w:val="002715D0"/>
    <w:rsid w:val="0027592E"/>
    <w:rsid w:val="00275E9A"/>
    <w:rsid w:val="00280076"/>
    <w:rsid w:val="00280218"/>
    <w:rsid w:val="00283FEC"/>
    <w:rsid w:val="00291796"/>
    <w:rsid w:val="00293A46"/>
    <w:rsid w:val="002A2DC9"/>
    <w:rsid w:val="002A3DA5"/>
    <w:rsid w:val="002A630F"/>
    <w:rsid w:val="002B035A"/>
    <w:rsid w:val="002B2489"/>
    <w:rsid w:val="002B5703"/>
    <w:rsid w:val="002B6DA8"/>
    <w:rsid w:val="002B7B77"/>
    <w:rsid w:val="002B7FDA"/>
    <w:rsid w:val="002C1E94"/>
    <w:rsid w:val="002C26E4"/>
    <w:rsid w:val="002C2A59"/>
    <w:rsid w:val="002C2AA5"/>
    <w:rsid w:val="002C5E14"/>
    <w:rsid w:val="002D0379"/>
    <w:rsid w:val="002D1E9D"/>
    <w:rsid w:val="002D3701"/>
    <w:rsid w:val="002D4BC9"/>
    <w:rsid w:val="002D79A6"/>
    <w:rsid w:val="002E1DFC"/>
    <w:rsid w:val="002E1EB7"/>
    <w:rsid w:val="002E45F2"/>
    <w:rsid w:val="002E57C6"/>
    <w:rsid w:val="002E648A"/>
    <w:rsid w:val="002E6EBE"/>
    <w:rsid w:val="002F17E0"/>
    <w:rsid w:val="002F1996"/>
    <w:rsid w:val="002F3106"/>
    <w:rsid w:val="002F7DDC"/>
    <w:rsid w:val="00301B78"/>
    <w:rsid w:val="00302BF3"/>
    <w:rsid w:val="00310F7C"/>
    <w:rsid w:val="00320318"/>
    <w:rsid w:val="003225B4"/>
    <w:rsid w:val="00322F3E"/>
    <w:rsid w:val="00323064"/>
    <w:rsid w:val="003249CB"/>
    <w:rsid w:val="00334189"/>
    <w:rsid w:val="00337ABE"/>
    <w:rsid w:val="00343415"/>
    <w:rsid w:val="00345EEB"/>
    <w:rsid w:val="00351587"/>
    <w:rsid w:val="0035210E"/>
    <w:rsid w:val="00353FBB"/>
    <w:rsid w:val="0035434B"/>
    <w:rsid w:val="003573C5"/>
    <w:rsid w:val="00361DE9"/>
    <w:rsid w:val="00365BD3"/>
    <w:rsid w:val="00372513"/>
    <w:rsid w:val="00375B39"/>
    <w:rsid w:val="00376EE8"/>
    <w:rsid w:val="00377646"/>
    <w:rsid w:val="00377F76"/>
    <w:rsid w:val="0038037F"/>
    <w:rsid w:val="00380F6E"/>
    <w:rsid w:val="00383B65"/>
    <w:rsid w:val="00384FD2"/>
    <w:rsid w:val="00385E95"/>
    <w:rsid w:val="00386C08"/>
    <w:rsid w:val="003877CE"/>
    <w:rsid w:val="00390718"/>
    <w:rsid w:val="00394C01"/>
    <w:rsid w:val="00397C2F"/>
    <w:rsid w:val="003A114E"/>
    <w:rsid w:val="003A6C54"/>
    <w:rsid w:val="003B08EF"/>
    <w:rsid w:val="003B557E"/>
    <w:rsid w:val="003B691F"/>
    <w:rsid w:val="003C1A51"/>
    <w:rsid w:val="003C52D5"/>
    <w:rsid w:val="003C5AFB"/>
    <w:rsid w:val="003D1761"/>
    <w:rsid w:val="003D1992"/>
    <w:rsid w:val="003D640C"/>
    <w:rsid w:val="003E1300"/>
    <w:rsid w:val="003E3022"/>
    <w:rsid w:val="003E38FF"/>
    <w:rsid w:val="003E415D"/>
    <w:rsid w:val="003E617F"/>
    <w:rsid w:val="003F05DC"/>
    <w:rsid w:val="003F21F9"/>
    <w:rsid w:val="003F3CAA"/>
    <w:rsid w:val="003F511C"/>
    <w:rsid w:val="003F6C6F"/>
    <w:rsid w:val="00400A79"/>
    <w:rsid w:val="00400ADB"/>
    <w:rsid w:val="0040134E"/>
    <w:rsid w:val="00407647"/>
    <w:rsid w:val="00415A79"/>
    <w:rsid w:val="00415CAB"/>
    <w:rsid w:val="00421B13"/>
    <w:rsid w:val="00424010"/>
    <w:rsid w:val="00424F26"/>
    <w:rsid w:val="004278EB"/>
    <w:rsid w:val="004325D3"/>
    <w:rsid w:val="00440612"/>
    <w:rsid w:val="00445160"/>
    <w:rsid w:val="00450DBF"/>
    <w:rsid w:val="004523B3"/>
    <w:rsid w:val="00453B32"/>
    <w:rsid w:val="00454DC1"/>
    <w:rsid w:val="004607C3"/>
    <w:rsid w:val="004622F3"/>
    <w:rsid w:val="00463441"/>
    <w:rsid w:val="004640A2"/>
    <w:rsid w:val="004647AC"/>
    <w:rsid w:val="0046582D"/>
    <w:rsid w:val="0046717C"/>
    <w:rsid w:val="004701AE"/>
    <w:rsid w:val="00470A29"/>
    <w:rsid w:val="0047182D"/>
    <w:rsid w:val="00475ABF"/>
    <w:rsid w:val="004825FB"/>
    <w:rsid w:val="00483A44"/>
    <w:rsid w:val="00485FBE"/>
    <w:rsid w:val="004861FC"/>
    <w:rsid w:val="004876B7"/>
    <w:rsid w:val="00491C1A"/>
    <w:rsid w:val="0049399A"/>
    <w:rsid w:val="004973B5"/>
    <w:rsid w:val="004A06CC"/>
    <w:rsid w:val="004A174B"/>
    <w:rsid w:val="004A1AB6"/>
    <w:rsid w:val="004A21C9"/>
    <w:rsid w:val="004A32E0"/>
    <w:rsid w:val="004A3B80"/>
    <w:rsid w:val="004A4B16"/>
    <w:rsid w:val="004B281B"/>
    <w:rsid w:val="004B2916"/>
    <w:rsid w:val="004B3D7E"/>
    <w:rsid w:val="004B4D85"/>
    <w:rsid w:val="004B6564"/>
    <w:rsid w:val="004B68BC"/>
    <w:rsid w:val="004B6DE3"/>
    <w:rsid w:val="004B7178"/>
    <w:rsid w:val="004B79D0"/>
    <w:rsid w:val="004C2BAA"/>
    <w:rsid w:val="004C2DE0"/>
    <w:rsid w:val="004C3DAE"/>
    <w:rsid w:val="004C50A7"/>
    <w:rsid w:val="004C7A61"/>
    <w:rsid w:val="004D2646"/>
    <w:rsid w:val="004E6138"/>
    <w:rsid w:val="004E64AA"/>
    <w:rsid w:val="004E7083"/>
    <w:rsid w:val="004F0D2C"/>
    <w:rsid w:val="004F35C7"/>
    <w:rsid w:val="004F588A"/>
    <w:rsid w:val="00512959"/>
    <w:rsid w:val="0051681C"/>
    <w:rsid w:val="00517D4C"/>
    <w:rsid w:val="00520A65"/>
    <w:rsid w:val="005225D3"/>
    <w:rsid w:val="00522967"/>
    <w:rsid w:val="00525A0D"/>
    <w:rsid w:val="00530E0E"/>
    <w:rsid w:val="00531DA3"/>
    <w:rsid w:val="00532749"/>
    <w:rsid w:val="0053564F"/>
    <w:rsid w:val="00535D00"/>
    <w:rsid w:val="00540DB5"/>
    <w:rsid w:val="005411B2"/>
    <w:rsid w:val="00541944"/>
    <w:rsid w:val="00542A24"/>
    <w:rsid w:val="00544747"/>
    <w:rsid w:val="00546A4D"/>
    <w:rsid w:val="00550F4F"/>
    <w:rsid w:val="00552A0D"/>
    <w:rsid w:val="0055579F"/>
    <w:rsid w:val="00557199"/>
    <w:rsid w:val="00557522"/>
    <w:rsid w:val="00563941"/>
    <w:rsid w:val="00563BE0"/>
    <w:rsid w:val="00565204"/>
    <w:rsid w:val="00566392"/>
    <w:rsid w:val="005669D7"/>
    <w:rsid w:val="00570ACA"/>
    <w:rsid w:val="00570D89"/>
    <w:rsid w:val="005761EB"/>
    <w:rsid w:val="00576A9A"/>
    <w:rsid w:val="00577BA4"/>
    <w:rsid w:val="00577F01"/>
    <w:rsid w:val="005829BD"/>
    <w:rsid w:val="005857C4"/>
    <w:rsid w:val="00585AFC"/>
    <w:rsid w:val="0059398F"/>
    <w:rsid w:val="00594A21"/>
    <w:rsid w:val="005A1815"/>
    <w:rsid w:val="005A2273"/>
    <w:rsid w:val="005A4D32"/>
    <w:rsid w:val="005A5B1D"/>
    <w:rsid w:val="005A79EE"/>
    <w:rsid w:val="005B1CD5"/>
    <w:rsid w:val="005B400B"/>
    <w:rsid w:val="005B44BE"/>
    <w:rsid w:val="005B4D30"/>
    <w:rsid w:val="005B72EA"/>
    <w:rsid w:val="005C123B"/>
    <w:rsid w:val="005C39C0"/>
    <w:rsid w:val="005C3ACB"/>
    <w:rsid w:val="005C64E0"/>
    <w:rsid w:val="005D20F1"/>
    <w:rsid w:val="005D3ECE"/>
    <w:rsid w:val="005D5003"/>
    <w:rsid w:val="005D5E30"/>
    <w:rsid w:val="005E01A6"/>
    <w:rsid w:val="005E0F5D"/>
    <w:rsid w:val="005E4D90"/>
    <w:rsid w:val="005E75B0"/>
    <w:rsid w:val="005F21D1"/>
    <w:rsid w:val="005F2A6C"/>
    <w:rsid w:val="005F2FF8"/>
    <w:rsid w:val="005F4277"/>
    <w:rsid w:val="005F696A"/>
    <w:rsid w:val="00606104"/>
    <w:rsid w:val="00612776"/>
    <w:rsid w:val="00615FF3"/>
    <w:rsid w:val="00622340"/>
    <w:rsid w:val="00623074"/>
    <w:rsid w:val="00625CD9"/>
    <w:rsid w:val="00627076"/>
    <w:rsid w:val="0063129F"/>
    <w:rsid w:val="0063796F"/>
    <w:rsid w:val="00637D24"/>
    <w:rsid w:val="00641D66"/>
    <w:rsid w:val="006443A5"/>
    <w:rsid w:val="00644E92"/>
    <w:rsid w:val="00646C0E"/>
    <w:rsid w:val="00650003"/>
    <w:rsid w:val="00655E25"/>
    <w:rsid w:val="00661F56"/>
    <w:rsid w:val="006626AF"/>
    <w:rsid w:val="00663354"/>
    <w:rsid w:val="00663991"/>
    <w:rsid w:val="00665A2D"/>
    <w:rsid w:val="00667CB5"/>
    <w:rsid w:val="00671059"/>
    <w:rsid w:val="0067378C"/>
    <w:rsid w:val="00673949"/>
    <w:rsid w:val="006802E9"/>
    <w:rsid w:val="006804DD"/>
    <w:rsid w:val="00680E24"/>
    <w:rsid w:val="00681085"/>
    <w:rsid w:val="0068260E"/>
    <w:rsid w:val="00683CB8"/>
    <w:rsid w:val="006842AE"/>
    <w:rsid w:val="006A06B1"/>
    <w:rsid w:val="006A116C"/>
    <w:rsid w:val="006A608C"/>
    <w:rsid w:val="006B2266"/>
    <w:rsid w:val="006B5D03"/>
    <w:rsid w:val="006C53EB"/>
    <w:rsid w:val="006C5C58"/>
    <w:rsid w:val="006C68F0"/>
    <w:rsid w:val="006D268D"/>
    <w:rsid w:val="006D3E4E"/>
    <w:rsid w:val="006D49C4"/>
    <w:rsid w:val="006D4C15"/>
    <w:rsid w:val="006E68C9"/>
    <w:rsid w:val="006F31E9"/>
    <w:rsid w:val="006F520B"/>
    <w:rsid w:val="00700B62"/>
    <w:rsid w:val="0071212E"/>
    <w:rsid w:val="007158C7"/>
    <w:rsid w:val="007244F6"/>
    <w:rsid w:val="007258C4"/>
    <w:rsid w:val="00732BA6"/>
    <w:rsid w:val="007337EB"/>
    <w:rsid w:val="00734033"/>
    <w:rsid w:val="00736A8D"/>
    <w:rsid w:val="00736D32"/>
    <w:rsid w:val="0074003C"/>
    <w:rsid w:val="007417DD"/>
    <w:rsid w:val="007447B2"/>
    <w:rsid w:val="0074692E"/>
    <w:rsid w:val="00746EE1"/>
    <w:rsid w:val="00747D6B"/>
    <w:rsid w:val="00752B92"/>
    <w:rsid w:val="00753DE5"/>
    <w:rsid w:val="00755704"/>
    <w:rsid w:val="007560E2"/>
    <w:rsid w:val="00756506"/>
    <w:rsid w:val="0076196C"/>
    <w:rsid w:val="00761D42"/>
    <w:rsid w:val="00763C5A"/>
    <w:rsid w:val="007675F7"/>
    <w:rsid w:val="007713D1"/>
    <w:rsid w:val="0077177A"/>
    <w:rsid w:val="00781E24"/>
    <w:rsid w:val="0078302F"/>
    <w:rsid w:val="007851ED"/>
    <w:rsid w:val="007905BE"/>
    <w:rsid w:val="007918CD"/>
    <w:rsid w:val="00793436"/>
    <w:rsid w:val="00793796"/>
    <w:rsid w:val="007964A4"/>
    <w:rsid w:val="007A1861"/>
    <w:rsid w:val="007A1CB5"/>
    <w:rsid w:val="007A39DD"/>
    <w:rsid w:val="007A3BF3"/>
    <w:rsid w:val="007A4504"/>
    <w:rsid w:val="007A575C"/>
    <w:rsid w:val="007A682E"/>
    <w:rsid w:val="007A69C3"/>
    <w:rsid w:val="007A71FD"/>
    <w:rsid w:val="007B1279"/>
    <w:rsid w:val="007B21FC"/>
    <w:rsid w:val="007B43BD"/>
    <w:rsid w:val="007B4824"/>
    <w:rsid w:val="007B63F5"/>
    <w:rsid w:val="007C162A"/>
    <w:rsid w:val="007C26A3"/>
    <w:rsid w:val="007C2C33"/>
    <w:rsid w:val="007C335E"/>
    <w:rsid w:val="007C36A9"/>
    <w:rsid w:val="007C531E"/>
    <w:rsid w:val="007C674D"/>
    <w:rsid w:val="007D17FD"/>
    <w:rsid w:val="007D474C"/>
    <w:rsid w:val="007D5BF0"/>
    <w:rsid w:val="007D625B"/>
    <w:rsid w:val="007D6BB9"/>
    <w:rsid w:val="007E52CD"/>
    <w:rsid w:val="007E6572"/>
    <w:rsid w:val="007F05C9"/>
    <w:rsid w:val="007F204C"/>
    <w:rsid w:val="007F245E"/>
    <w:rsid w:val="007F4597"/>
    <w:rsid w:val="007F7D15"/>
    <w:rsid w:val="00801852"/>
    <w:rsid w:val="00801DBD"/>
    <w:rsid w:val="0080787E"/>
    <w:rsid w:val="00814903"/>
    <w:rsid w:val="008170B2"/>
    <w:rsid w:val="00822615"/>
    <w:rsid w:val="0082329F"/>
    <w:rsid w:val="00830019"/>
    <w:rsid w:val="00835017"/>
    <w:rsid w:val="008419A8"/>
    <w:rsid w:val="00842F3C"/>
    <w:rsid w:val="0084395C"/>
    <w:rsid w:val="00846304"/>
    <w:rsid w:val="008465B2"/>
    <w:rsid w:val="00854277"/>
    <w:rsid w:val="00855213"/>
    <w:rsid w:val="00862798"/>
    <w:rsid w:val="008636FA"/>
    <w:rsid w:val="00864807"/>
    <w:rsid w:val="00871AF0"/>
    <w:rsid w:val="00874E3B"/>
    <w:rsid w:val="00875B80"/>
    <w:rsid w:val="00876E78"/>
    <w:rsid w:val="008804B4"/>
    <w:rsid w:val="008841B1"/>
    <w:rsid w:val="00884823"/>
    <w:rsid w:val="008852B1"/>
    <w:rsid w:val="0088567C"/>
    <w:rsid w:val="008930B3"/>
    <w:rsid w:val="00894AA6"/>
    <w:rsid w:val="008A04EE"/>
    <w:rsid w:val="008A42F6"/>
    <w:rsid w:val="008A43F1"/>
    <w:rsid w:val="008A612D"/>
    <w:rsid w:val="008D0C4C"/>
    <w:rsid w:val="008D21AD"/>
    <w:rsid w:val="008D2568"/>
    <w:rsid w:val="008D4715"/>
    <w:rsid w:val="008D760E"/>
    <w:rsid w:val="008E1CC3"/>
    <w:rsid w:val="008E1D11"/>
    <w:rsid w:val="008E3F78"/>
    <w:rsid w:val="008E4297"/>
    <w:rsid w:val="008E611F"/>
    <w:rsid w:val="008E7932"/>
    <w:rsid w:val="008F12E3"/>
    <w:rsid w:val="00900FC3"/>
    <w:rsid w:val="00901D3A"/>
    <w:rsid w:val="00905326"/>
    <w:rsid w:val="00905F54"/>
    <w:rsid w:val="00906EEB"/>
    <w:rsid w:val="00910C1D"/>
    <w:rsid w:val="00911B96"/>
    <w:rsid w:val="00911BC8"/>
    <w:rsid w:val="00913009"/>
    <w:rsid w:val="0091307E"/>
    <w:rsid w:val="00913200"/>
    <w:rsid w:val="00914710"/>
    <w:rsid w:val="00915F5E"/>
    <w:rsid w:val="00917D1C"/>
    <w:rsid w:val="00921935"/>
    <w:rsid w:val="00923498"/>
    <w:rsid w:val="009245C4"/>
    <w:rsid w:val="0093343E"/>
    <w:rsid w:val="0093458D"/>
    <w:rsid w:val="00934C3F"/>
    <w:rsid w:val="00936ED5"/>
    <w:rsid w:val="00937F9D"/>
    <w:rsid w:val="00941EE6"/>
    <w:rsid w:val="009439B0"/>
    <w:rsid w:val="00951660"/>
    <w:rsid w:val="009544BF"/>
    <w:rsid w:val="0095752D"/>
    <w:rsid w:val="00960496"/>
    <w:rsid w:val="0096382A"/>
    <w:rsid w:val="00971ECE"/>
    <w:rsid w:val="00977322"/>
    <w:rsid w:val="00983F1F"/>
    <w:rsid w:val="00991A57"/>
    <w:rsid w:val="00992C9B"/>
    <w:rsid w:val="009949B5"/>
    <w:rsid w:val="00995D40"/>
    <w:rsid w:val="009971BD"/>
    <w:rsid w:val="009A1D95"/>
    <w:rsid w:val="009B2240"/>
    <w:rsid w:val="009B4756"/>
    <w:rsid w:val="009B5E4A"/>
    <w:rsid w:val="009B6B01"/>
    <w:rsid w:val="009B7298"/>
    <w:rsid w:val="009C0973"/>
    <w:rsid w:val="009C2CCE"/>
    <w:rsid w:val="009C4216"/>
    <w:rsid w:val="009C53C3"/>
    <w:rsid w:val="009D099F"/>
    <w:rsid w:val="009D2060"/>
    <w:rsid w:val="009D4091"/>
    <w:rsid w:val="009D5666"/>
    <w:rsid w:val="009D7263"/>
    <w:rsid w:val="009D754D"/>
    <w:rsid w:val="009E085A"/>
    <w:rsid w:val="009E08AB"/>
    <w:rsid w:val="009E10B2"/>
    <w:rsid w:val="009E22FB"/>
    <w:rsid w:val="009E2D2D"/>
    <w:rsid w:val="009E5D8A"/>
    <w:rsid w:val="009E6628"/>
    <w:rsid w:val="009F254D"/>
    <w:rsid w:val="009F3D0B"/>
    <w:rsid w:val="009F6719"/>
    <w:rsid w:val="009F7E87"/>
    <w:rsid w:val="00A02B54"/>
    <w:rsid w:val="00A02CEF"/>
    <w:rsid w:val="00A031B6"/>
    <w:rsid w:val="00A0464A"/>
    <w:rsid w:val="00A06544"/>
    <w:rsid w:val="00A07DA7"/>
    <w:rsid w:val="00A11005"/>
    <w:rsid w:val="00A12D57"/>
    <w:rsid w:val="00A14D62"/>
    <w:rsid w:val="00A16C20"/>
    <w:rsid w:val="00A24B7D"/>
    <w:rsid w:val="00A262D3"/>
    <w:rsid w:val="00A30041"/>
    <w:rsid w:val="00A3522C"/>
    <w:rsid w:val="00A361F7"/>
    <w:rsid w:val="00A36BCD"/>
    <w:rsid w:val="00A43425"/>
    <w:rsid w:val="00A474A5"/>
    <w:rsid w:val="00A5031F"/>
    <w:rsid w:val="00A50486"/>
    <w:rsid w:val="00A516B4"/>
    <w:rsid w:val="00A55236"/>
    <w:rsid w:val="00A5786F"/>
    <w:rsid w:val="00A6008D"/>
    <w:rsid w:val="00A7275A"/>
    <w:rsid w:val="00A81EE5"/>
    <w:rsid w:val="00A842B6"/>
    <w:rsid w:val="00A87AD7"/>
    <w:rsid w:val="00A90771"/>
    <w:rsid w:val="00A91EC9"/>
    <w:rsid w:val="00A91F77"/>
    <w:rsid w:val="00AB0E21"/>
    <w:rsid w:val="00AB27D2"/>
    <w:rsid w:val="00AB349D"/>
    <w:rsid w:val="00AB3B76"/>
    <w:rsid w:val="00AB6D7F"/>
    <w:rsid w:val="00AC3D6A"/>
    <w:rsid w:val="00AC44FE"/>
    <w:rsid w:val="00AD047E"/>
    <w:rsid w:val="00AD0D84"/>
    <w:rsid w:val="00AD1360"/>
    <w:rsid w:val="00AD1757"/>
    <w:rsid w:val="00AD2854"/>
    <w:rsid w:val="00AD2B8C"/>
    <w:rsid w:val="00AD2CFF"/>
    <w:rsid w:val="00AD3DFA"/>
    <w:rsid w:val="00AD54DD"/>
    <w:rsid w:val="00AD5DF5"/>
    <w:rsid w:val="00AE09F2"/>
    <w:rsid w:val="00AE2BB4"/>
    <w:rsid w:val="00AE2D45"/>
    <w:rsid w:val="00AE3F7F"/>
    <w:rsid w:val="00AE4217"/>
    <w:rsid w:val="00AE6B54"/>
    <w:rsid w:val="00AE7632"/>
    <w:rsid w:val="00AF19AA"/>
    <w:rsid w:val="00AF23FE"/>
    <w:rsid w:val="00AF2491"/>
    <w:rsid w:val="00AF4085"/>
    <w:rsid w:val="00AF435C"/>
    <w:rsid w:val="00AF5AE0"/>
    <w:rsid w:val="00AF5DC2"/>
    <w:rsid w:val="00AF6AD1"/>
    <w:rsid w:val="00B02625"/>
    <w:rsid w:val="00B0415D"/>
    <w:rsid w:val="00B04ABE"/>
    <w:rsid w:val="00B04DE3"/>
    <w:rsid w:val="00B12A65"/>
    <w:rsid w:val="00B132E7"/>
    <w:rsid w:val="00B14046"/>
    <w:rsid w:val="00B22A24"/>
    <w:rsid w:val="00B24843"/>
    <w:rsid w:val="00B25AEA"/>
    <w:rsid w:val="00B26B4F"/>
    <w:rsid w:val="00B3397F"/>
    <w:rsid w:val="00B34001"/>
    <w:rsid w:val="00B34273"/>
    <w:rsid w:val="00B35D2F"/>
    <w:rsid w:val="00B35FD1"/>
    <w:rsid w:val="00B3608D"/>
    <w:rsid w:val="00B365B1"/>
    <w:rsid w:val="00B37C2A"/>
    <w:rsid w:val="00B462A7"/>
    <w:rsid w:val="00B4670D"/>
    <w:rsid w:val="00B46EF0"/>
    <w:rsid w:val="00B47A17"/>
    <w:rsid w:val="00B544BD"/>
    <w:rsid w:val="00B574A7"/>
    <w:rsid w:val="00B577E3"/>
    <w:rsid w:val="00B63844"/>
    <w:rsid w:val="00B70650"/>
    <w:rsid w:val="00B70F2C"/>
    <w:rsid w:val="00B715C0"/>
    <w:rsid w:val="00B71B56"/>
    <w:rsid w:val="00B72887"/>
    <w:rsid w:val="00B73DD5"/>
    <w:rsid w:val="00B75DF5"/>
    <w:rsid w:val="00B81BFD"/>
    <w:rsid w:val="00B8449B"/>
    <w:rsid w:val="00B907C0"/>
    <w:rsid w:val="00B9083E"/>
    <w:rsid w:val="00B91F47"/>
    <w:rsid w:val="00B958A3"/>
    <w:rsid w:val="00BA08C7"/>
    <w:rsid w:val="00BA1940"/>
    <w:rsid w:val="00BA21BC"/>
    <w:rsid w:val="00BA2B92"/>
    <w:rsid w:val="00BA3133"/>
    <w:rsid w:val="00BA3CC4"/>
    <w:rsid w:val="00BA53C8"/>
    <w:rsid w:val="00BA738C"/>
    <w:rsid w:val="00BB0A0D"/>
    <w:rsid w:val="00BB173A"/>
    <w:rsid w:val="00BB55AE"/>
    <w:rsid w:val="00BB6137"/>
    <w:rsid w:val="00BB6821"/>
    <w:rsid w:val="00BC0D47"/>
    <w:rsid w:val="00BC1FC1"/>
    <w:rsid w:val="00BC2958"/>
    <w:rsid w:val="00BC3CC6"/>
    <w:rsid w:val="00BC6021"/>
    <w:rsid w:val="00BD03FE"/>
    <w:rsid w:val="00BD31A4"/>
    <w:rsid w:val="00BD32F7"/>
    <w:rsid w:val="00BD4940"/>
    <w:rsid w:val="00BD596C"/>
    <w:rsid w:val="00BD635E"/>
    <w:rsid w:val="00BE0875"/>
    <w:rsid w:val="00BE126B"/>
    <w:rsid w:val="00BE2971"/>
    <w:rsid w:val="00BF3AEB"/>
    <w:rsid w:val="00C02AE0"/>
    <w:rsid w:val="00C034E3"/>
    <w:rsid w:val="00C10F42"/>
    <w:rsid w:val="00C11385"/>
    <w:rsid w:val="00C11EFD"/>
    <w:rsid w:val="00C12921"/>
    <w:rsid w:val="00C165CE"/>
    <w:rsid w:val="00C23591"/>
    <w:rsid w:val="00C25C98"/>
    <w:rsid w:val="00C37699"/>
    <w:rsid w:val="00C449FD"/>
    <w:rsid w:val="00C47B5D"/>
    <w:rsid w:val="00C5018F"/>
    <w:rsid w:val="00C50678"/>
    <w:rsid w:val="00C565CF"/>
    <w:rsid w:val="00C611DE"/>
    <w:rsid w:val="00C6141F"/>
    <w:rsid w:val="00C654AB"/>
    <w:rsid w:val="00C6571B"/>
    <w:rsid w:val="00C70981"/>
    <w:rsid w:val="00C72C79"/>
    <w:rsid w:val="00C72F40"/>
    <w:rsid w:val="00C74B56"/>
    <w:rsid w:val="00C76DE6"/>
    <w:rsid w:val="00C8071A"/>
    <w:rsid w:val="00C8106F"/>
    <w:rsid w:val="00C82C5E"/>
    <w:rsid w:val="00C83802"/>
    <w:rsid w:val="00C84FC1"/>
    <w:rsid w:val="00C86A6B"/>
    <w:rsid w:val="00C87997"/>
    <w:rsid w:val="00C90B10"/>
    <w:rsid w:val="00C91458"/>
    <w:rsid w:val="00C94348"/>
    <w:rsid w:val="00CA26C1"/>
    <w:rsid w:val="00CA3920"/>
    <w:rsid w:val="00CA3BDD"/>
    <w:rsid w:val="00CA48DA"/>
    <w:rsid w:val="00CA55AF"/>
    <w:rsid w:val="00CA6477"/>
    <w:rsid w:val="00CA6781"/>
    <w:rsid w:val="00CB25E7"/>
    <w:rsid w:val="00CB2AC8"/>
    <w:rsid w:val="00CB36EB"/>
    <w:rsid w:val="00CB6C3B"/>
    <w:rsid w:val="00CB7187"/>
    <w:rsid w:val="00CB7C92"/>
    <w:rsid w:val="00CC17C9"/>
    <w:rsid w:val="00CC5FA3"/>
    <w:rsid w:val="00CC6C09"/>
    <w:rsid w:val="00CD1A19"/>
    <w:rsid w:val="00CD23AE"/>
    <w:rsid w:val="00CE02FD"/>
    <w:rsid w:val="00CE3149"/>
    <w:rsid w:val="00CE4F33"/>
    <w:rsid w:val="00CE5150"/>
    <w:rsid w:val="00CE6552"/>
    <w:rsid w:val="00CE7129"/>
    <w:rsid w:val="00CF38C0"/>
    <w:rsid w:val="00CF45E2"/>
    <w:rsid w:val="00CF5933"/>
    <w:rsid w:val="00CF5FAD"/>
    <w:rsid w:val="00D059C8"/>
    <w:rsid w:val="00D06968"/>
    <w:rsid w:val="00D104D1"/>
    <w:rsid w:val="00D10D26"/>
    <w:rsid w:val="00D164DD"/>
    <w:rsid w:val="00D17210"/>
    <w:rsid w:val="00D20FFD"/>
    <w:rsid w:val="00D21AF0"/>
    <w:rsid w:val="00D25970"/>
    <w:rsid w:val="00D3172D"/>
    <w:rsid w:val="00D33D3F"/>
    <w:rsid w:val="00D343E9"/>
    <w:rsid w:val="00D3580F"/>
    <w:rsid w:val="00D41734"/>
    <w:rsid w:val="00D4240F"/>
    <w:rsid w:val="00D42435"/>
    <w:rsid w:val="00D45B7E"/>
    <w:rsid w:val="00D46047"/>
    <w:rsid w:val="00D46A2E"/>
    <w:rsid w:val="00D548E4"/>
    <w:rsid w:val="00D576A6"/>
    <w:rsid w:val="00D61081"/>
    <w:rsid w:val="00D617E6"/>
    <w:rsid w:val="00D618E8"/>
    <w:rsid w:val="00D6191E"/>
    <w:rsid w:val="00D61B56"/>
    <w:rsid w:val="00D64ED1"/>
    <w:rsid w:val="00D64F20"/>
    <w:rsid w:val="00D662F3"/>
    <w:rsid w:val="00D66E4A"/>
    <w:rsid w:val="00D67162"/>
    <w:rsid w:val="00D71F2E"/>
    <w:rsid w:val="00D72749"/>
    <w:rsid w:val="00D72F3C"/>
    <w:rsid w:val="00D73300"/>
    <w:rsid w:val="00D7368E"/>
    <w:rsid w:val="00D81109"/>
    <w:rsid w:val="00D85812"/>
    <w:rsid w:val="00D872BB"/>
    <w:rsid w:val="00D90C26"/>
    <w:rsid w:val="00D910B5"/>
    <w:rsid w:val="00D916ED"/>
    <w:rsid w:val="00D94835"/>
    <w:rsid w:val="00D96FC4"/>
    <w:rsid w:val="00DA1478"/>
    <w:rsid w:val="00DA18E5"/>
    <w:rsid w:val="00DA27AC"/>
    <w:rsid w:val="00DA2CDA"/>
    <w:rsid w:val="00DA4713"/>
    <w:rsid w:val="00DA7585"/>
    <w:rsid w:val="00DA78CE"/>
    <w:rsid w:val="00DB2632"/>
    <w:rsid w:val="00DB35F8"/>
    <w:rsid w:val="00DB65B7"/>
    <w:rsid w:val="00DB6C2B"/>
    <w:rsid w:val="00DC1CC4"/>
    <w:rsid w:val="00DC2565"/>
    <w:rsid w:val="00DC37E3"/>
    <w:rsid w:val="00DC4C2E"/>
    <w:rsid w:val="00DC772A"/>
    <w:rsid w:val="00DD032C"/>
    <w:rsid w:val="00DD4CB4"/>
    <w:rsid w:val="00DD60DA"/>
    <w:rsid w:val="00DE2086"/>
    <w:rsid w:val="00DE53E3"/>
    <w:rsid w:val="00DE5471"/>
    <w:rsid w:val="00DE6C43"/>
    <w:rsid w:val="00DE6D61"/>
    <w:rsid w:val="00DF3568"/>
    <w:rsid w:val="00DF608D"/>
    <w:rsid w:val="00DF64F5"/>
    <w:rsid w:val="00DF69F4"/>
    <w:rsid w:val="00E0017D"/>
    <w:rsid w:val="00E00A16"/>
    <w:rsid w:val="00E016B9"/>
    <w:rsid w:val="00E057E9"/>
    <w:rsid w:val="00E05940"/>
    <w:rsid w:val="00E06522"/>
    <w:rsid w:val="00E06D29"/>
    <w:rsid w:val="00E10CF7"/>
    <w:rsid w:val="00E114A6"/>
    <w:rsid w:val="00E1150C"/>
    <w:rsid w:val="00E15FAC"/>
    <w:rsid w:val="00E20FD6"/>
    <w:rsid w:val="00E211FD"/>
    <w:rsid w:val="00E262F6"/>
    <w:rsid w:val="00E27EA5"/>
    <w:rsid w:val="00E3146C"/>
    <w:rsid w:val="00E33AF3"/>
    <w:rsid w:val="00E3571F"/>
    <w:rsid w:val="00E35C8E"/>
    <w:rsid w:val="00E35DEC"/>
    <w:rsid w:val="00E3601E"/>
    <w:rsid w:val="00E3797A"/>
    <w:rsid w:val="00E4072F"/>
    <w:rsid w:val="00E4123D"/>
    <w:rsid w:val="00E448CC"/>
    <w:rsid w:val="00E448D2"/>
    <w:rsid w:val="00E47B6E"/>
    <w:rsid w:val="00E51E2A"/>
    <w:rsid w:val="00E51F50"/>
    <w:rsid w:val="00E52147"/>
    <w:rsid w:val="00E521D4"/>
    <w:rsid w:val="00E53A3F"/>
    <w:rsid w:val="00E5528B"/>
    <w:rsid w:val="00E57D09"/>
    <w:rsid w:val="00E601D4"/>
    <w:rsid w:val="00E6048A"/>
    <w:rsid w:val="00E63896"/>
    <w:rsid w:val="00E74465"/>
    <w:rsid w:val="00E767B7"/>
    <w:rsid w:val="00E77989"/>
    <w:rsid w:val="00E8092A"/>
    <w:rsid w:val="00E846C1"/>
    <w:rsid w:val="00E854D2"/>
    <w:rsid w:val="00E85CCE"/>
    <w:rsid w:val="00E86743"/>
    <w:rsid w:val="00E867F7"/>
    <w:rsid w:val="00E93780"/>
    <w:rsid w:val="00EA01B6"/>
    <w:rsid w:val="00EA2058"/>
    <w:rsid w:val="00EA61FB"/>
    <w:rsid w:val="00EB1B3A"/>
    <w:rsid w:val="00EB3712"/>
    <w:rsid w:val="00EC3A37"/>
    <w:rsid w:val="00EC538E"/>
    <w:rsid w:val="00ED3257"/>
    <w:rsid w:val="00ED6AF1"/>
    <w:rsid w:val="00EE3519"/>
    <w:rsid w:val="00EE5CC9"/>
    <w:rsid w:val="00EF6BB3"/>
    <w:rsid w:val="00F03408"/>
    <w:rsid w:val="00F108D0"/>
    <w:rsid w:val="00F1221E"/>
    <w:rsid w:val="00F15702"/>
    <w:rsid w:val="00F17866"/>
    <w:rsid w:val="00F17F66"/>
    <w:rsid w:val="00F204E3"/>
    <w:rsid w:val="00F2102A"/>
    <w:rsid w:val="00F226C2"/>
    <w:rsid w:val="00F30DC7"/>
    <w:rsid w:val="00F3196D"/>
    <w:rsid w:val="00F32E08"/>
    <w:rsid w:val="00F340FC"/>
    <w:rsid w:val="00F34627"/>
    <w:rsid w:val="00F360D0"/>
    <w:rsid w:val="00F4115F"/>
    <w:rsid w:val="00F45EA8"/>
    <w:rsid w:val="00F5125B"/>
    <w:rsid w:val="00F536D4"/>
    <w:rsid w:val="00F55C6F"/>
    <w:rsid w:val="00F561A0"/>
    <w:rsid w:val="00F5674A"/>
    <w:rsid w:val="00F60E65"/>
    <w:rsid w:val="00F62664"/>
    <w:rsid w:val="00F62A2E"/>
    <w:rsid w:val="00F63BCC"/>
    <w:rsid w:val="00F71053"/>
    <w:rsid w:val="00F76B0E"/>
    <w:rsid w:val="00F76D12"/>
    <w:rsid w:val="00F8065E"/>
    <w:rsid w:val="00F81986"/>
    <w:rsid w:val="00F86344"/>
    <w:rsid w:val="00F86514"/>
    <w:rsid w:val="00F916F1"/>
    <w:rsid w:val="00F91A17"/>
    <w:rsid w:val="00F92C59"/>
    <w:rsid w:val="00F93D8D"/>
    <w:rsid w:val="00F94862"/>
    <w:rsid w:val="00F956D8"/>
    <w:rsid w:val="00F963E5"/>
    <w:rsid w:val="00F96E34"/>
    <w:rsid w:val="00F97D65"/>
    <w:rsid w:val="00FA0B55"/>
    <w:rsid w:val="00FA177A"/>
    <w:rsid w:val="00FA1B8C"/>
    <w:rsid w:val="00FA3C60"/>
    <w:rsid w:val="00FA70EE"/>
    <w:rsid w:val="00FB06B5"/>
    <w:rsid w:val="00FB0939"/>
    <w:rsid w:val="00FB104D"/>
    <w:rsid w:val="00FB132A"/>
    <w:rsid w:val="00FB3516"/>
    <w:rsid w:val="00FB4A9B"/>
    <w:rsid w:val="00FB54C2"/>
    <w:rsid w:val="00FB757E"/>
    <w:rsid w:val="00FC1AE2"/>
    <w:rsid w:val="00FC38B5"/>
    <w:rsid w:val="00FC63A1"/>
    <w:rsid w:val="00FC7721"/>
    <w:rsid w:val="00FD22CA"/>
    <w:rsid w:val="00FD43AA"/>
    <w:rsid w:val="00FE305C"/>
    <w:rsid w:val="00FE5F7C"/>
    <w:rsid w:val="00FE636F"/>
    <w:rsid w:val="00FF23B2"/>
    <w:rsid w:val="00FF59DD"/>
    <w:rsid w:val="02515359"/>
    <w:rsid w:val="034F2928"/>
    <w:rsid w:val="0533210B"/>
    <w:rsid w:val="06003A3F"/>
    <w:rsid w:val="07A92825"/>
    <w:rsid w:val="09CF47C3"/>
    <w:rsid w:val="0A505A94"/>
    <w:rsid w:val="0A64281B"/>
    <w:rsid w:val="0BF23C62"/>
    <w:rsid w:val="0D807E21"/>
    <w:rsid w:val="0DAD65A7"/>
    <w:rsid w:val="0DC70EAD"/>
    <w:rsid w:val="0E3B7B03"/>
    <w:rsid w:val="0E4709CC"/>
    <w:rsid w:val="0FF74C9F"/>
    <w:rsid w:val="11DF317C"/>
    <w:rsid w:val="12F70C48"/>
    <w:rsid w:val="15D64EC1"/>
    <w:rsid w:val="16AA4F19"/>
    <w:rsid w:val="17190CFC"/>
    <w:rsid w:val="17DD7339"/>
    <w:rsid w:val="183865F8"/>
    <w:rsid w:val="183A204C"/>
    <w:rsid w:val="189E6ABD"/>
    <w:rsid w:val="19864414"/>
    <w:rsid w:val="199306BA"/>
    <w:rsid w:val="1A385B5C"/>
    <w:rsid w:val="1C686019"/>
    <w:rsid w:val="1C860E7B"/>
    <w:rsid w:val="1FAE6F06"/>
    <w:rsid w:val="2025538F"/>
    <w:rsid w:val="208F30DB"/>
    <w:rsid w:val="20A85E05"/>
    <w:rsid w:val="2164456B"/>
    <w:rsid w:val="227B0BEC"/>
    <w:rsid w:val="234B7326"/>
    <w:rsid w:val="24392625"/>
    <w:rsid w:val="248024EA"/>
    <w:rsid w:val="257B4E19"/>
    <w:rsid w:val="25DB624F"/>
    <w:rsid w:val="280A7E4C"/>
    <w:rsid w:val="2A327457"/>
    <w:rsid w:val="2A7F350E"/>
    <w:rsid w:val="2BF7760A"/>
    <w:rsid w:val="2F1C5505"/>
    <w:rsid w:val="2F8530AA"/>
    <w:rsid w:val="31205D07"/>
    <w:rsid w:val="31344D88"/>
    <w:rsid w:val="3299756D"/>
    <w:rsid w:val="329E2229"/>
    <w:rsid w:val="35284CDE"/>
    <w:rsid w:val="360639A4"/>
    <w:rsid w:val="37E444D0"/>
    <w:rsid w:val="387D7C13"/>
    <w:rsid w:val="38A02FD1"/>
    <w:rsid w:val="391951EC"/>
    <w:rsid w:val="39657AA9"/>
    <w:rsid w:val="39C02D71"/>
    <w:rsid w:val="3A802587"/>
    <w:rsid w:val="3AF80E1F"/>
    <w:rsid w:val="3B7F69DA"/>
    <w:rsid w:val="3DAE7B8B"/>
    <w:rsid w:val="3E1251D5"/>
    <w:rsid w:val="3E6D5331"/>
    <w:rsid w:val="3F4504E2"/>
    <w:rsid w:val="403646E7"/>
    <w:rsid w:val="404D6F25"/>
    <w:rsid w:val="411918A4"/>
    <w:rsid w:val="46421B87"/>
    <w:rsid w:val="46726720"/>
    <w:rsid w:val="46A36D36"/>
    <w:rsid w:val="4707219F"/>
    <w:rsid w:val="48E22EC4"/>
    <w:rsid w:val="4AA63C07"/>
    <w:rsid w:val="4AA6770F"/>
    <w:rsid w:val="4F50199C"/>
    <w:rsid w:val="52232583"/>
    <w:rsid w:val="52473694"/>
    <w:rsid w:val="530E314A"/>
    <w:rsid w:val="554C1DF1"/>
    <w:rsid w:val="56475A8C"/>
    <w:rsid w:val="57126048"/>
    <w:rsid w:val="57853398"/>
    <w:rsid w:val="57CE6CCF"/>
    <w:rsid w:val="57EF1159"/>
    <w:rsid w:val="594A6855"/>
    <w:rsid w:val="595E36FC"/>
    <w:rsid w:val="5A2E4804"/>
    <w:rsid w:val="5A7A4333"/>
    <w:rsid w:val="5A937C42"/>
    <w:rsid w:val="5A9B7B5C"/>
    <w:rsid w:val="5B61282B"/>
    <w:rsid w:val="5DDB5188"/>
    <w:rsid w:val="5E6D4B86"/>
    <w:rsid w:val="5F60700B"/>
    <w:rsid w:val="605C66C3"/>
    <w:rsid w:val="60F70150"/>
    <w:rsid w:val="6194234D"/>
    <w:rsid w:val="61BD42A9"/>
    <w:rsid w:val="62284A47"/>
    <w:rsid w:val="64791ECB"/>
    <w:rsid w:val="64961602"/>
    <w:rsid w:val="65A66743"/>
    <w:rsid w:val="66FA0489"/>
    <w:rsid w:val="67604EF6"/>
    <w:rsid w:val="67735D60"/>
    <w:rsid w:val="67C9216E"/>
    <w:rsid w:val="683D6965"/>
    <w:rsid w:val="692C0C80"/>
    <w:rsid w:val="698711F2"/>
    <w:rsid w:val="69990F25"/>
    <w:rsid w:val="6A4204C9"/>
    <w:rsid w:val="6AA67D9D"/>
    <w:rsid w:val="6AAB593B"/>
    <w:rsid w:val="6ACD5119"/>
    <w:rsid w:val="6B6A054F"/>
    <w:rsid w:val="6BD51DA2"/>
    <w:rsid w:val="6C423CA9"/>
    <w:rsid w:val="6C5C2D10"/>
    <w:rsid w:val="6DA803E9"/>
    <w:rsid w:val="6F384B29"/>
    <w:rsid w:val="701404A8"/>
    <w:rsid w:val="706E3D83"/>
    <w:rsid w:val="7115431E"/>
    <w:rsid w:val="71761560"/>
    <w:rsid w:val="7185070D"/>
    <w:rsid w:val="72583FC5"/>
    <w:rsid w:val="74A72748"/>
    <w:rsid w:val="76125986"/>
    <w:rsid w:val="76894DFB"/>
    <w:rsid w:val="77BD45B6"/>
    <w:rsid w:val="77EA751B"/>
    <w:rsid w:val="7BC55C00"/>
    <w:rsid w:val="7BC9057A"/>
    <w:rsid w:val="7D7331E7"/>
    <w:rsid w:val="7DAB4D05"/>
    <w:rsid w:val="7E7232C9"/>
    <w:rsid w:val="7EC0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link w:val="41"/>
    <w:qFormat/>
    <w:uiPriority w:val="0"/>
    <w:pPr>
      <w:keepNext/>
      <w:ind w:right="284"/>
      <w:outlineLvl w:val="1"/>
    </w:pPr>
    <w:rPr>
      <w:rFonts w:ascii="Arial" w:hAnsi="Arial"/>
      <w:sz w:val="24"/>
    </w:rPr>
  </w:style>
  <w:style w:type="paragraph" w:styleId="4">
    <w:name w:val="heading 3"/>
    <w:basedOn w:val="3"/>
    <w:next w:val="1"/>
    <w:autoRedefine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4"/>
    <w:next w:val="1"/>
    <w:autoRedefine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6">
    <w:name w:val="heading 5"/>
    <w:basedOn w:val="1"/>
    <w:next w:val="1"/>
    <w:autoRedefine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autoRedefine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autoRedefine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autoRedefine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autoRedefine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autoRedefine/>
    <w:semiHidden/>
    <w:unhideWhenUsed/>
    <w:qFormat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eastAsia="宋体"/>
      <w:b/>
      <w:bCs/>
      <w:kern w:val="2"/>
      <w:szCs w:val="20"/>
      <w:lang w:val="en-GB" w:eastAsia="zh-CN"/>
    </w:rPr>
  </w:style>
  <w:style w:type="paragraph" w:styleId="12">
    <w:name w:val="annotation text"/>
    <w:basedOn w:val="1"/>
    <w:link w:val="38"/>
    <w:autoRedefine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4"/>
    <w:autoRedefine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5">
    <w:name w:val="footer"/>
    <w:basedOn w:val="1"/>
    <w:autoRedefine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autoRedefine/>
    <w:semiHidden/>
    <w:qFormat/>
    <w:uiPriority w:val="0"/>
    <w:pPr>
      <w:spacing w:before="120" w:beforeLines="50" w:after="120" w:afterLines="50"/>
    </w:pPr>
    <w:rPr>
      <w:rFonts w:ascii="Arial" w:hAnsi="Arial" w:cs="Arial"/>
      <w:lang w:val="en-US" w:eastAsia="zh-CN"/>
    </w:rPr>
  </w:style>
  <w:style w:type="paragraph" w:styleId="17">
    <w:name w:val="List"/>
    <w:basedOn w:val="1"/>
    <w:autoRedefine/>
    <w:qFormat/>
    <w:uiPriority w:val="0"/>
    <w:pPr>
      <w:ind w:left="568" w:hanging="284"/>
    </w:pPr>
  </w:style>
  <w:style w:type="paragraph" w:styleId="18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9">
    <w:name w:val="annotation subject"/>
    <w:basedOn w:val="12"/>
    <w:next w:val="12"/>
    <w:link w:val="39"/>
    <w:autoRedefine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autoRedefine/>
    <w:semiHidden/>
    <w:qFormat/>
    <w:uiPriority w:val="0"/>
  </w:style>
  <w:style w:type="character" w:styleId="24">
    <w:name w:val="Hyperlink"/>
    <w:basedOn w:val="22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5">
    <w:name w:val="annotation reference"/>
    <w:autoRedefine/>
    <w:semiHidden/>
    <w:qFormat/>
    <w:uiPriority w:val="0"/>
    <w:rPr>
      <w:sz w:val="16"/>
    </w:rPr>
  </w:style>
  <w:style w:type="paragraph" w:customStyle="1" w:styleId="26">
    <w:name w:val="B1"/>
    <w:basedOn w:val="17"/>
    <w:autoRedefine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autoRedefine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autoRedefine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9">
    <w:name w:val="??? 2"/>
    <w:basedOn w:val="28"/>
    <w:next w:val="28"/>
    <w:autoRedefine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autoRedefine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autoRedefine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autoRedefine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autoRedefine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批注框文本 字符"/>
    <w:link w:val="14"/>
    <w:autoRedefine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customStyle="1" w:styleId="35">
    <w:name w:val="Agreement"/>
    <w:basedOn w:val="1"/>
    <w:next w:val="36"/>
    <w:autoRedefine/>
    <w:qFormat/>
    <w:uiPriority w:val="99"/>
    <w:pPr>
      <w:numPr>
        <w:ilvl w:val="0"/>
        <w:numId w:val="5"/>
      </w:numPr>
      <w:spacing w:before="60"/>
    </w:pPr>
    <w:rPr>
      <w:rFonts w:ascii="Arial" w:hAnsi="Arial" w:eastAsia="MS Mincho"/>
      <w:b/>
      <w:szCs w:val="24"/>
      <w:lang w:eastAsia="en-GB"/>
    </w:rPr>
  </w:style>
  <w:style w:type="paragraph" w:customStyle="1" w:styleId="36">
    <w:name w:val="Doc-text2"/>
    <w:basedOn w:val="1"/>
    <w:autoRedefine/>
    <w:qFormat/>
    <w:uiPriority w:val="0"/>
    <w:pPr>
      <w:tabs>
        <w:tab w:val="left" w:pos="1622"/>
      </w:tabs>
      <w:spacing w:before="0"/>
      <w:ind w:left="1622" w:hanging="363"/>
    </w:pPr>
  </w:style>
  <w:style w:type="paragraph" w:styleId="37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38">
    <w:name w:val="批注文字 字符"/>
    <w:basedOn w:val="22"/>
    <w:link w:val="12"/>
    <w:autoRedefine/>
    <w:semiHidden/>
    <w:qFormat/>
    <w:uiPriority w:val="0"/>
    <w:rPr>
      <w:rFonts w:ascii="Arial" w:hAnsi="Arial"/>
      <w:lang w:val="en-GB" w:eastAsia="en-US"/>
    </w:rPr>
  </w:style>
  <w:style w:type="character" w:customStyle="1" w:styleId="39">
    <w:name w:val="批注主题 字符"/>
    <w:basedOn w:val="38"/>
    <w:link w:val="19"/>
    <w:autoRedefine/>
    <w:semiHidden/>
    <w:qFormat/>
    <w:uiPriority w:val="99"/>
    <w:rPr>
      <w:rFonts w:ascii="Arial" w:hAnsi="Arial"/>
      <w:b/>
      <w:bCs/>
      <w:lang w:val="en-GB" w:eastAsia="en-US"/>
    </w:rPr>
  </w:style>
  <w:style w:type="character" w:customStyle="1" w:styleId="40">
    <w:name w:val="未处理的提及1"/>
    <w:basedOn w:val="22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1">
    <w:name w:val="标题 2 字符"/>
    <w:basedOn w:val="22"/>
    <w:link w:val="3"/>
    <w:autoRedefine/>
    <w:qFormat/>
    <w:uiPriority w:val="0"/>
    <w:rPr>
      <w:rFonts w:ascii="Arial" w:hAnsi="Arial" w:eastAsiaTheme="minorEastAsia"/>
      <w:b/>
      <w:sz w:val="24"/>
      <w:lang w:val="en-GB" w:eastAsia="en-US"/>
    </w:rPr>
  </w:style>
  <w:style w:type="paragraph" w:customStyle="1" w:styleId="42">
    <w:name w:val="TH"/>
    <w:basedOn w:val="1"/>
    <w:autoRedefine/>
    <w:qFormat/>
    <w:uiPriority w:val="0"/>
    <w:pPr>
      <w:keepNext/>
      <w:keepLines/>
      <w:widowControl w:val="0"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Arial"/>
      <w:b/>
      <w:sz w:val="24"/>
      <w:szCs w:val="24"/>
      <w:lang w:val="en-US" w:eastAsia="zh-CN"/>
    </w:rPr>
  </w:style>
  <w:style w:type="paragraph" w:customStyle="1" w:styleId="43">
    <w:name w:val="TAN"/>
    <w:basedOn w:val="1"/>
    <w:autoRedefine/>
    <w:qFormat/>
    <w:uiPriority w:val="0"/>
    <w:pPr>
      <w:keepNext/>
      <w:keepLines/>
      <w:widowControl w:val="0"/>
      <w:overflowPunct w:val="0"/>
      <w:autoSpaceDE w:val="0"/>
      <w:autoSpaceDN w:val="0"/>
      <w:adjustRightInd w:val="0"/>
      <w:spacing w:before="100" w:beforeAutospacing="1"/>
      <w:ind w:left="851" w:hanging="85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44">
    <w:name w:val="リスト段落1"/>
    <w:basedOn w:val="1"/>
    <w:autoRedefine/>
    <w:qFormat/>
    <w:uiPriority w:val="34"/>
    <w:pPr>
      <w:ind w:left="720"/>
    </w:pPr>
    <w:rPr>
      <w:rFonts w:ascii="Times New Roman" w:hAnsi="Times New Roman" w:eastAsia="MS Gothic"/>
      <w:sz w:val="24"/>
      <w:szCs w:val="20"/>
      <w:lang w:eastAsia="ko-KR"/>
    </w:rPr>
  </w:style>
  <w:style w:type="paragraph" w:customStyle="1" w:styleId="4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宋体" w:cs="Courier New"/>
      <w:color w:val="000000"/>
      <w:sz w:val="24"/>
      <w:szCs w:val="24"/>
      <w:lang w:val="en-US" w:eastAsia="zh-CN" w:bidi="ar-SA"/>
    </w:rPr>
  </w:style>
  <w:style w:type="paragraph" w:customStyle="1" w:styleId="46">
    <w:name w:val="Proposal"/>
    <w:basedOn w:val="13"/>
    <w:qFormat/>
    <w:uiPriority w:val="0"/>
    <w:pPr>
      <w:tabs>
        <w:tab w:val="left" w:pos="1701"/>
      </w:tabs>
      <w:spacing w:line="240" w:lineRule="auto"/>
    </w:pPr>
    <w:rPr>
      <w:rFonts w:ascii="Arial" w:hAnsi="Arial" w:eastAsia="等线"/>
      <w:b/>
      <w:bCs/>
      <w:sz w:val="20"/>
    </w:rPr>
  </w:style>
  <w:style w:type="paragraph" w:customStyle="1" w:styleId="47">
    <w:name w:val="Comments"/>
    <w:basedOn w:val="1"/>
    <w:qFormat/>
    <w:uiPriority w:val="0"/>
    <w:rPr>
      <w:i/>
      <w:sz w:val="18"/>
    </w:rPr>
  </w:style>
  <w:style w:type="paragraph" w:customStyle="1" w:styleId="48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D2F9C-B570-4F55-907C-8E66A62BB8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CMCC</Company>
  <Pages>3</Pages>
  <Words>1294</Words>
  <Characters>6872</Characters>
  <Lines>91</Lines>
  <Paragraphs>25</Paragraphs>
  <TotalTime>2</TotalTime>
  <ScaleCrop>false</ScaleCrop>
  <LinksUpToDate>false</LinksUpToDate>
  <CharactersWithSpaces>8154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2022-09-22T03:40:00Z</dcterms:created>
  <dc:creator>CMCC</dc:creator>
  <cp:lastModifiedBy>CMCC</cp:lastModifiedBy>
  <cp:lastPrinted>2002-04-23T01:10:00Z</cp:lastPrinted>
  <dcterms:modified xsi:type="dcterms:W3CDTF">2025-02-07T06:36:08Z</dcterms:modified>
  <dc:title>3GPP contribution</dc:title>
  <cp:revision>888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99FFDD7BA6534ACE95D2B2D43BC77B08_13</vt:lpwstr>
  </property>
  <property fmtid="{D5CDD505-2E9C-101B-9397-08002B2CF9AE}" pid="4" name="KSOTemplateDocerSaveRecord">
    <vt:lpwstr>eyJoZGlkIjoiYzA2OTA3ODI2ZTZhNjY1YzVjYzhkNTg0MDk5NGZlMGMiLCJ1c2VySWQiOiIxMTU2NDE4NTYwIn0=</vt:lpwstr>
  </property>
</Properties>
</file>